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49C2" w:rsidRDefault="00E95493">
      <w:pPr>
        <w:spacing w:line="360" w:lineRule="auto"/>
        <w:jc w:val="center"/>
        <w:rPr>
          <w:rFonts w:ascii="仿宋" w:eastAsia="仿宋" w:hAnsi="仿宋"/>
          <w:b/>
          <w:sz w:val="28"/>
          <w:szCs w:val="28"/>
        </w:rPr>
      </w:pPr>
      <w:r>
        <w:rPr>
          <w:rFonts w:ascii="仿宋" w:eastAsia="仿宋" w:hAnsi="仿宋" w:hint="eastAsia"/>
          <w:b/>
          <w:sz w:val="28"/>
          <w:szCs w:val="28"/>
        </w:rPr>
        <w:t>广东省高等教育自学考试</w:t>
      </w:r>
      <w:bookmarkStart w:id="0" w:name="_Hlk197258941"/>
      <w:bookmarkStart w:id="1" w:name="OLE_LINK1"/>
      <w:r>
        <w:rPr>
          <w:rFonts w:ascii="仿宋" w:eastAsia="仿宋" w:hAnsi="仿宋" w:hint="eastAsia"/>
          <w:b/>
          <w:sz w:val="28"/>
          <w:szCs w:val="28"/>
        </w:rPr>
        <w:t>《网络营销与策划（实践）》</w:t>
      </w:r>
      <w:bookmarkEnd w:id="0"/>
      <w:bookmarkEnd w:id="1"/>
      <w:r>
        <w:rPr>
          <w:rFonts w:ascii="仿宋" w:eastAsia="仿宋" w:hAnsi="仿宋" w:hint="eastAsia"/>
          <w:b/>
          <w:sz w:val="28"/>
          <w:szCs w:val="28"/>
        </w:rPr>
        <w:t>课程考试大纲</w:t>
      </w:r>
    </w:p>
    <w:p w:rsidR="00E449C2" w:rsidRDefault="00E95493">
      <w:pPr>
        <w:spacing w:line="360" w:lineRule="auto"/>
        <w:jc w:val="center"/>
        <w:rPr>
          <w:rFonts w:ascii="仿宋" w:eastAsia="仿宋" w:hAnsi="仿宋"/>
          <w:b/>
          <w:sz w:val="28"/>
          <w:szCs w:val="28"/>
        </w:rPr>
      </w:pPr>
      <w:r>
        <w:rPr>
          <w:rFonts w:ascii="仿宋" w:eastAsia="仿宋" w:hAnsi="仿宋" w:hint="eastAsia"/>
          <w:b/>
          <w:sz w:val="28"/>
          <w:szCs w:val="28"/>
        </w:rPr>
        <w:t>（课程代码：</w:t>
      </w:r>
      <w:r>
        <w:rPr>
          <w:rFonts w:ascii="仿宋" w:eastAsia="仿宋" w:hAnsi="仿宋"/>
          <w:b/>
          <w:sz w:val="28"/>
          <w:szCs w:val="28"/>
        </w:rPr>
        <w:t>00909</w:t>
      </w:r>
      <w:r>
        <w:rPr>
          <w:rFonts w:ascii="仿宋" w:eastAsia="仿宋" w:hAnsi="仿宋" w:hint="eastAsia"/>
          <w:b/>
          <w:sz w:val="28"/>
          <w:szCs w:val="28"/>
        </w:rPr>
        <w:t>）</w:t>
      </w:r>
    </w:p>
    <w:p w:rsidR="00E449C2" w:rsidRDefault="00E449C2">
      <w:pPr>
        <w:spacing w:line="360" w:lineRule="auto"/>
        <w:jc w:val="center"/>
        <w:rPr>
          <w:rFonts w:ascii="仿宋" w:eastAsia="仿宋" w:hAnsi="仿宋"/>
        </w:rPr>
      </w:pPr>
    </w:p>
    <w:p w:rsidR="00E449C2" w:rsidRDefault="00E95493">
      <w:pPr>
        <w:spacing w:line="360" w:lineRule="auto"/>
        <w:ind w:firstLineChars="200" w:firstLine="482"/>
        <w:rPr>
          <w:rFonts w:ascii="仿宋" w:eastAsia="仿宋" w:hAnsi="仿宋"/>
          <w:b/>
          <w:sz w:val="24"/>
          <w:szCs w:val="24"/>
        </w:rPr>
      </w:pPr>
      <w:r>
        <w:rPr>
          <w:rFonts w:ascii="仿宋" w:eastAsia="仿宋" w:hAnsi="仿宋"/>
          <w:b/>
          <w:sz w:val="24"/>
          <w:szCs w:val="24"/>
        </w:rPr>
        <w:t>一、考核目标</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网络营销与策划》课程是网络与新媒体专业的核心基础课程。考生通过实践考核课程的学习和考试，能够了解网络营销的基本范畴，掌握网络营销的基本知识和技能，具备网络营销策略组合与网络品牌战略规划等方面的知识与能力；具有对网络营销环境分析和网络消费者行为分析并准确定位网络营销目标市场的能力，具有网络市场调查方案策划与实施的能力，掌握一定的网络营销方法和网络营销效果评价。</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二、参考教材</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《网络营销与策划》，秦良娟，中国人民大学出版社，</w:t>
      </w:r>
      <w:r>
        <w:rPr>
          <w:rFonts w:ascii="仿宋" w:eastAsia="仿宋" w:hAnsi="仿宋" w:hint="eastAsia"/>
          <w:sz w:val="24"/>
          <w:szCs w:val="24"/>
        </w:rPr>
        <w:t>20</w:t>
      </w:r>
      <w:r>
        <w:rPr>
          <w:rFonts w:ascii="仿宋" w:eastAsia="仿宋" w:hAnsi="仿宋"/>
          <w:sz w:val="24"/>
          <w:szCs w:val="24"/>
        </w:rPr>
        <w:t>18</w:t>
      </w:r>
      <w:r>
        <w:rPr>
          <w:rFonts w:ascii="仿宋" w:eastAsia="仿宋" w:hAnsi="仿宋" w:hint="eastAsia"/>
          <w:sz w:val="24"/>
          <w:szCs w:val="24"/>
        </w:rPr>
        <w:t>年。</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三、考核内容和题型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考核内容：</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本课程的考核内容以课程考试大纲为依据。</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考核内容主要包括：</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第一章“网络营销概论”需要掌握：网络营销主体、客体，网络营销对象、网民类型的划分，网络营销目标，网络营销方式、站点营销方式、非站点营销方式。网络营销的功能、意义及内容。网络营销与传统营销的相同点和不同点，</w:t>
      </w:r>
      <w:r>
        <w:rPr>
          <w:rFonts w:ascii="仿宋" w:eastAsia="仿宋" w:hAnsi="仿宋" w:hint="eastAsia"/>
          <w:sz w:val="24"/>
          <w:szCs w:val="24"/>
        </w:rPr>
        <w:t>web1.0</w:t>
      </w:r>
      <w:r>
        <w:rPr>
          <w:rFonts w:ascii="仿宋" w:eastAsia="仿宋" w:hAnsi="仿宋" w:hint="eastAsia"/>
          <w:sz w:val="24"/>
          <w:szCs w:val="24"/>
        </w:rPr>
        <w:t>、</w:t>
      </w:r>
      <w:r>
        <w:rPr>
          <w:rFonts w:ascii="仿宋" w:eastAsia="仿宋" w:hAnsi="仿宋" w:hint="eastAsia"/>
          <w:sz w:val="24"/>
          <w:szCs w:val="24"/>
        </w:rPr>
        <w:t>Web2.0</w:t>
      </w:r>
      <w:r>
        <w:rPr>
          <w:rFonts w:ascii="仿宋" w:eastAsia="仿宋" w:hAnsi="仿宋" w:hint="eastAsia"/>
          <w:sz w:val="24"/>
          <w:szCs w:val="24"/>
        </w:rPr>
        <w:t>、</w:t>
      </w:r>
      <w:r>
        <w:rPr>
          <w:rFonts w:ascii="Calibri" w:eastAsia="仿宋" w:hAnsi="Calibri" w:cs="Calibri"/>
          <w:sz w:val="24"/>
          <w:szCs w:val="24"/>
        </w:rPr>
        <w:t> </w:t>
      </w:r>
      <w:r>
        <w:rPr>
          <w:rFonts w:ascii="仿宋" w:eastAsia="仿宋" w:hAnsi="仿宋" w:hint="eastAsia"/>
          <w:sz w:val="24"/>
          <w:szCs w:val="24"/>
        </w:rPr>
        <w:t>Web3.0</w:t>
      </w:r>
      <w:r>
        <w:rPr>
          <w:rFonts w:ascii="仿宋" w:eastAsia="仿宋" w:hAnsi="仿宋" w:hint="eastAsia"/>
          <w:sz w:val="24"/>
          <w:szCs w:val="24"/>
        </w:rPr>
        <w:t>的主要特点和技术发展的表现。</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第二章“网络营销环境分析”需要掌握：网络营销环境对企业的影响。网络营销环境的含</w:t>
      </w:r>
      <w:r>
        <w:rPr>
          <w:rFonts w:ascii="仿宋" w:eastAsia="仿宋" w:hAnsi="仿宋" w:hint="eastAsia"/>
          <w:sz w:val="24"/>
          <w:szCs w:val="24"/>
        </w:rPr>
        <w:t>义，网络营销微观环境包含的各种因素，网络营销宏观环境包含的各种因素，营销中介包括的机构类型，网络经济的特点。</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第三章“网络营销战略”需要掌握：网络营销战略与相关概念的区别，网络营销战略的作用。</w:t>
      </w:r>
      <w:r>
        <w:rPr>
          <w:rFonts w:ascii="仿宋" w:eastAsia="仿宋" w:hAnsi="仿宋" w:hint="eastAsia"/>
          <w:sz w:val="24"/>
          <w:szCs w:val="24"/>
        </w:rPr>
        <w:t>SWOT</w:t>
      </w:r>
      <w:r>
        <w:rPr>
          <w:rFonts w:ascii="仿宋" w:eastAsia="仿宋" w:hAnsi="仿宋" w:hint="eastAsia"/>
          <w:sz w:val="24"/>
          <w:szCs w:val="24"/>
        </w:rPr>
        <w:t>分析四种基本战略，网络营销模式的收益，网上市场细分变量和原则，网上目标市场的进人策略知识应用，网上市场定位的方式。</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第四章“网络市场调查”需要掌握：网上直接市场调查的常见方法，网上间接市场调查的常见方法，网络市场调查的程序及各步骤注意事项，网络市场调查的优势和局限性。</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lastRenderedPageBreak/>
        <w:t>第五章“网络消费者行为”需要掌握：消费者网</w:t>
      </w:r>
      <w:r>
        <w:rPr>
          <w:rFonts w:ascii="仿宋" w:eastAsia="仿宋" w:hAnsi="仿宋" w:hint="eastAsia"/>
          <w:sz w:val="24"/>
          <w:szCs w:val="24"/>
        </w:rPr>
        <w:t>络购买行为的特征，影响消费者网络购买行为的个人因素、外部环境因、网络载体因素、商品因素、线下服务因素，消费者网络购买行为过程。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第六章“网络营销组合策略”需要掌握：网上产品整体概念和分类，网上产品组合策略，网上新产品开发的要点，网络定价方法的应用，网络定价策略的应用，网络渠道策略选择，网络广告主要收费模式，站点销售促进方式，口碑营销的含义，病毒式营销。</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第七章“网络营销方法”需要掌握：</w:t>
      </w:r>
      <w:r>
        <w:rPr>
          <w:rFonts w:ascii="仿宋" w:eastAsia="仿宋" w:hAnsi="仿宋" w:hint="eastAsia"/>
          <w:sz w:val="24"/>
          <w:szCs w:val="24"/>
        </w:rPr>
        <w:t>搜索引擎的分类和工作流程，电子邮件营销效果评价的指标及含义，微信、</w:t>
      </w:r>
      <w:proofErr w:type="gramStart"/>
      <w:r>
        <w:rPr>
          <w:rFonts w:ascii="仿宋" w:eastAsia="仿宋" w:hAnsi="仿宋" w:hint="eastAsia"/>
          <w:sz w:val="24"/>
          <w:szCs w:val="24"/>
        </w:rPr>
        <w:t>微博营销</w:t>
      </w:r>
      <w:proofErr w:type="gramEnd"/>
      <w:r>
        <w:rPr>
          <w:rFonts w:ascii="仿宋" w:eastAsia="仿宋" w:hAnsi="仿宋" w:hint="eastAsia"/>
          <w:sz w:val="24"/>
          <w:szCs w:val="24"/>
        </w:rPr>
        <w:t>的特点和优势，</w:t>
      </w:r>
      <w:proofErr w:type="gramStart"/>
      <w:r>
        <w:rPr>
          <w:rFonts w:ascii="仿宋" w:eastAsia="仿宋" w:hAnsi="仿宋" w:hint="eastAsia"/>
          <w:sz w:val="24"/>
          <w:szCs w:val="24"/>
        </w:rPr>
        <w:t>众筹营</w:t>
      </w:r>
      <w:proofErr w:type="gramEnd"/>
      <w:r>
        <w:rPr>
          <w:rFonts w:ascii="仿宋" w:eastAsia="仿宋" w:hAnsi="仿宋" w:hint="eastAsia"/>
          <w:sz w:val="24"/>
          <w:szCs w:val="24"/>
        </w:rPr>
        <w:t>销特点与优势，广告联盟营销的付费方式。</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第八章“网络环境下的客户关系管理”需要掌握：</w:t>
      </w:r>
      <w:r>
        <w:rPr>
          <w:rFonts w:ascii="仿宋" w:eastAsia="仿宋" w:hAnsi="仿宋" w:hint="eastAsia"/>
          <w:sz w:val="24"/>
          <w:szCs w:val="24"/>
        </w:rPr>
        <w:t>关系营销的要点，一对一营销的特点与实施步骤，一对一营销与传统营销的区别，金字塔模型的三层划分，客户满意度的层次和主要影响因素，客户忠诚度的衡量指标。</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第九章“网络营销效果评价”需要掌握：</w:t>
      </w:r>
      <w:r>
        <w:rPr>
          <w:rFonts w:ascii="仿宋" w:eastAsia="仿宋" w:hAnsi="仿宋" w:hint="eastAsia"/>
          <w:sz w:val="24"/>
          <w:szCs w:val="24"/>
        </w:rPr>
        <w:t>用户行为分析指标及其含义，网络广告效果评价的指标及其含义，百度统计、</w:t>
      </w:r>
      <w:r>
        <w:rPr>
          <w:rFonts w:ascii="仿宋" w:eastAsia="仿宋" w:hAnsi="仿宋" w:hint="eastAsia"/>
          <w:sz w:val="24"/>
          <w:szCs w:val="24"/>
        </w:rPr>
        <w:t>CNZZ</w:t>
      </w:r>
      <w:r>
        <w:rPr>
          <w:rFonts w:ascii="仿宋" w:eastAsia="仿宋" w:hAnsi="仿宋" w:hint="eastAsia"/>
          <w:sz w:val="24"/>
          <w:szCs w:val="24"/>
        </w:rPr>
        <w:t>和</w:t>
      </w:r>
      <w:proofErr w:type="gramStart"/>
      <w:r>
        <w:rPr>
          <w:rFonts w:ascii="仿宋" w:eastAsia="仿宋" w:hAnsi="仿宋" w:hint="eastAsia"/>
          <w:sz w:val="24"/>
          <w:szCs w:val="24"/>
        </w:rPr>
        <w:t>友盟</w:t>
      </w:r>
      <w:proofErr w:type="gramEnd"/>
      <w:r>
        <w:rPr>
          <w:rFonts w:ascii="仿宋" w:eastAsia="仿宋" w:hAnsi="仿宋" w:hint="eastAsia"/>
          <w:sz w:val="24"/>
          <w:szCs w:val="24"/>
        </w:rPr>
        <w:t>等网站分析工具的功能，生意参谋、</w:t>
      </w:r>
      <w:proofErr w:type="gramStart"/>
      <w:r>
        <w:rPr>
          <w:rFonts w:ascii="仿宋" w:eastAsia="仿宋" w:hAnsi="仿宋" w:hint="eastAsia"/>
          <w:sz w:val="24"/>
          <w:szCs w:val="24"/>
        </w:rPr>
        <w:t>京东商智</w:t>
      </w:r>
      <w:proofErr w:type="gramEnd"/>
      <w:r>
        <w:rPr>
          <w:rFonts w:ascii="仿宋" w:eastAsia="仿宋" w:hAnsi="仿宋" w:hint="eastAsia"/>
          <w:sz w:val="24"/>
          <w:szCs w:val="24"/>
        </w:rPr>
        <w:t>等电子商务平台工具的功能。</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第十章“大数据下的网络营销变革”需要掌握：</w:t>
      </w:r>
      <w:r>
        <w:rPr>
          <w:rFonts w:ascii="仿宋" w:eastAsia="仿宋" w:hAnsi="仿宋" w:hint="eastAsia"/>
          <w:sz w:val="24"/>
          <w:szCs w:val="24"/>
        </w:rPr>
        <w:t>大数据营销的概念及特点、基于数据挖掘技术可实现的分析，数据挖掘常用算法、移动大数据精准营销。</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考核题型：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在规定时间内，按照要求完成网络营销策划案，以</w:t>
      </w:r>
      <w:r>
        <w:rPr>
          <w:rFonts w:ascii="仿宋" w:eastAsia="仿宋" w:hAnsi="仿宋" w:hint="eastAsia"/>
          <w:sz w:val="24"/>
          <w:szCs w:val="24"/>
        </w:rPr>
        <w:t>P</w:t>
      </w:r>
      <w:r>
        <w:rPr>
          <w:rFonts w:ascii="仿宋" w:eastAsia="仿宋" w:hAnsi="仿宋"/>
          <w:sz w:val="24"/>
          <w:szCs w:val="24"/>
        </w:rPr>
        <w:t>PT</w:t>
      </w:r>
      <w:r>
        <w:rPr>
          <w:rFonts w:ascii="仿宋" w:eastAsia="仿宋" w:hAnsi="仿宋" w:hint="eastAsia"/>
          <w:sz w:val="24"/>
          <w:szCs w:val="24"/>
        </w:rPr>
        <w:t>形式呈现。</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四、试卷结构</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sz w:val="24"/>
          <w:szCs w:val="24"/>
        </w:rPr>
        <w:t>.</w:t>
      </w:r>
      <w:r>
        <w:rPr>
          <w:rFonts w:ascii="仿宋" w:eastAsia="仿宋" w:hAnsi="仿宋" w:hint="eastAsia"/>
          <w:sz w:val="24"/>
          <w:szCs w:val="24"/>
        </w:rPr>
        <w:t>策划案</w:t>
      </w:r>
      <w:r>
        <w:rPr>
          <w:rFonts w:ascii="仿宋" w:eastAsia="仿宋" w:hAnsi="仿宋" w:hint="eastAsia"/>
          <w:sz w:val="24"/>
          <w:szCs w:val="24"/>
        </w:rPr>
        <w:t>P</w:t>
      </w:r>
      <w:r>
        <w:rPr>
          <w:rFonts w:ascii="仿宋" w:eastAsia="仿宋" w:hAnsi="仿宋"/>
          <w:sz w:val="24"/>
          <w:szCs w:val="24"/>
        </w:rPr>
        <w:t>PT</w:t>
      </w:r>
      <w:r>
        <w:rPr>
          <w:rFonts w:ascii="仿宋" w:eastAsia="仿宋" w:hAnsi="仿宋" w:hint="eastAsia"/>
          <w:sz w:val="24"/>
          <w:szCs w:val="24"/>
        </w:rPr>
        <w:t>分五个部分：前期市场调研、</w:t>
      </w:r>
      <w:r>
        <w:rPr>
          <w:rFonts w:ascii="仿宋" w:eastAsia="仿宋" w:hAnsi="仿宋"/>
          <w:sz w:val="24"/>
          <w:szCs w:val="24"/>
        </w:rPr>
        <w:t>SWOT</w:t>
      </w:r>
      <w:r>
        <w:rPr>
          <w:rFonts w:ascii="仿宋" w:eastAsia="仿宋" w:hAnsi="仿宋" w:hint="eastAsia"/>
          <w:sz w:val="24"/>
          <w:szCs w:val="24"/>
        </w:rPr>
        <w:t>分析、创意策略、媒体投放、效果分析。</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sz w:val="24"/>
          <w:szCs w:val="24"/>
        </w:rPr>
        <w:t>.</w:t>
      </w:r>
      <w:r>
        <w:rPr>
          <w:rFonts w:ascii="仿宋" w:eastAsia="仿宋" w:hAnsi="仿宋" w:hint="eastAsia"/>
          <w:sz w:val="24"/>
          <w:szCs w:val="24"/>
        </w:rPr>
        <w:t>采用百分制，</w:t>
      </w:r>
      <w:r>
        <w:rPr>
          <w:rFonts w:ascii="仿宋" w:eastAsia="仿宋" w:hAnsi="仿宋" w:hint="eastAsia"/>
          <w:sz w:val="24"/>
          <w:szCs w:val="24"/>
        </w:rPr>
        <w:t>60</w:t>
      </w:r>
      <w:r>
        <w:rPr>
          <w:rFonts w:ascii="仿宋" w:eastAsia="仿宋" w:hAnsi="仿宋" w:hint="eastAsia"/>
          <w:sz w:val="24"/>
          <w:szCs w:val="24"/>
        </w:rPr>
        <w:t>分为合格。</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五、命题要求</w:t>
      </w:r>
    </w:p>
    <w:p w:rsidR="00E449C2" w:rsidRPr="008401C7" w:rsidRDefault="00E95493">
      <w:pPr>
        <w:spacing w:line="360" w:lineRule="auto"/>
        <w:ind w:firstLineChars="200" w:firstLine="480"/>
        <w:rPr>
          <w:rFonts w:ascii="仿宋" w:eastAsia="仿宋" w:hAnsi="仿宋"/>
          <w:sz w:val="24"/>
          <w:szCs w:val="24"/>
        </w:rPr>
      </w:pPr>
      <w:r w:rsidRPr="008401C7">
        <w:rPr>
          <w:rFonts w:ascii="仿宋" w:eastAsia="仿宋" w:hAnsi="仿宋" w:hint="eastAsia"/>
          <w:sz w:val="24"/>
          <w:szCs w:val="24"/>
        </w:rPr>
        <w:t>1</w:t>
      </w:r>
      <w:r w:rsidRPr="008401C7">
        <w:rPr>
          <w:rFonts w:ascii="仿宋" w:eastAsia="仿宋" w:hAnsi="仿宋"/>
          <w:sz w:val="24"/>
          <w:szCs w:val="24"/>
        </w:rPr>
        <w:t>.</w:t>
      </w:r>
      <w:r w:rsidRPr="008401C7">
        <w:rPr>
          <w:rFonts w:ascii="仿宋" w:eastAsia="仿宋" w:hAnsi="仿宋" w:hint="eastAsia"/>
          <w:sz w:val="24"/>
          <w:szCs w:val="24"/>
        </w:rPr>
        <w:t>考试方式：线上机考</w:t>
      </w:r>
    </w:p>
    <w:p w:rsidR="008401C7" w:rsidRPr="008401C7" w:rsidRDefault="00E95493">
      <w:pPr>
        <w:spacing w:line="360" w:lineRule="auto"/>
        <w:ind w:firstLineChars="200" w:firstLine="480"/>
        <w:rPr>
          <w:rFonts w:ascii="仿宋" w:eastAsia="仿宋" w:hAnsi="仿宋"/>
          <w:sz w:val="24"/>
          <w:szCs w:val="24"/>
        </w:rPr>
      </w:pPr>
      <w:r w:rsidRPr="008401C7">
        <w:rPr>
          <w:rFonts w:ascii="仿宋" w:eastAsia="仿宋" w:hAnsi="仿宋" w:hint="eastAsia"/>
          <w:sz w:val="24"/>
          <w:szCs w:val="24"/>
        </w:rPr>
        <w:t>2</w:t>
      </w:r>
      <w:r w:rsidRPr="008401C7">
        <w:rPr>
          <w:rFonts w:ascii="仿宋" w:eastAsia="仿宋" w:hAnsi="仿宋"/>
          <w:sz w:val="24"/>
          <w:szCs w:val="24"/>
        </w:rPr>
        <w:t>.</w:t>
      </w:r>
      <w:r w:rsidRPr="008401C7">
        <w:rPr>
          <w:rFonts w:ascii="仿宋" w:eastAsia="仿宋" w:hAnsi="仿宋" w:hint="eastAsia"/>
          <w:sz w:val="24"/>
          <w:szCs w:val="24"/>
        </w:rPr>
        <w:t>考试时间：</w:t>
      </w:r>
      <w:r w:rsidR="008401C7" w:rsidRPr="008401C7">
        <w:rPr>
          <w:rFonts w:ascii="仿宋" w:eastAsia="仿宋" w:hAnsi="仿宋"/>
          <w:sz w:val="24"/>
          <w:szCs w:val="24"/>
        </w:rPr>
        <w:t>120</w:t>
      </w:r>
      <w:r w:rsidRPr="008401C7">
        <w:rPr>
          <w:rFonts w:ascii="仿宋" w:eastAsia="仿宋" w:hAnsi="仿宋" w:hint="eastAsia"/>
          <w:sz w:val="24"/>
          <w:szCs w:val="24"/>
        </w:rPr>
        <w:t>分钟</w:t>
      </w:r>
    </w:p>
    <w:p w:rsidR="00E449C2" w:rsidRPr="008401C7" w:rsidRDefault="008401C7" w:rsidP="008401C7">
      <w:pPr>
        <w:spacing w:line="360" w:lineRule="auto"/>
        <w:ind w:firstLineChars="200" w:firstLine="480"/>
        <w:rPr>
          <w:rFonts w:ascii="仿宋" w:eastAsia="仿宋" w:hAnsi="仿宋"/>
          <w:b/>
          <w:bCs/>
          <w:sz w:val="24"/>
          <w:szCs w:val="24"/>
        </w:rPr>
      </w:pPr>
      <w:r w:rsidRPr="008401C7">
        <w:rPr>
          <w:rFonts w:ascii="仿宋" w:eastAsia="仿宋" w:hAnsi="仿宋"/>
          <w:sz w:val="24"/>
          <w:szCs w:val="24"/>
        </w:rPr>
        <w:t>3.</w:t>
      </w:r>
      <w:r w:rsidRPr="008401C7">
        <w:rPr>
          <w:rFonts w:ascii="仿宋" w:eastAsia="仿宋" w:hAnsi="仿宋" w:hint="eastAsia"/>
          <w:sz w:val="24"/>
          <w:szCs w:val="24"/>
        </w:rPr>
        <w:t>作品须保存到考试盘或指定目录。如果考生没有将作品保存到正确位置，不予记分。文件命名：﹡﹡﹡专业 + 考生号+﹡﹡﹡（学生姓名）。</w:t>
      </w:r>
    </w:p>
    <w:p w:rsidR="008401C7" w:rsidRPr="008401C7" w:rsidRDefault="008401C7" w:rsidP="008401C7">
      <w:pPr>
        <w:spacing w:line="360" w:lineRule="auto"/>
        <w:ind w:firstLineChars="200" w:firstLine="482"/>
        <w:rPr>
          <w:rFonts w:ascii="仿宋" w:eastAsia="仿宋" w:hAnsi="仿宋"/>
          <w:b/>
          <w:sz w:val="24"/>
          <w:szCs w:val="24"/>
        </w:rPr>
      </w:pPr>
      <w:bookmarkStart w:id="2" w:name="_Hlk197506410"/>
      <w:bookmarkStart w:id="3" w:name="_Hlk197506787"/>
      <w:bookmarkStart w:id="4" w:name="OLE_LINK2"/>
      <w:r w:rsidRPr="008401C7">
        <w:rPr>
          <w:rFonts w:ascii="仿宋" w:eastAsia="仿宋" w:hAnsi="仿宋" w:hint="eastAsia"/>
          <w:b/>
          <w:sz w:val="24"/>
          <w:szCs w:val="24"/>
        </w:rPr>
        <w:lastRenderedPageBreak/>
        <w:t>六、考试网络及软件要求</w:t>
      </w:r>
    </w:p>
    <w:bookmarkEnd w:id="2"/>
    <w:p w:rsidR="008401C7" w:rsidRDefault="008401C7" w:rsidP="008401C7">
      <w:pPr>
        <w:spacing w:line="360" w:lineRule="auto"/>
        <w:ind w:firstLineChars="200" w:firstLine="480"/>
        <w:rPr>
          <w:rFonts w:ascii="仿宋" w:eastAsia="仿宋" w:hAnsi="仿宋"/>
          <w:sz w:val="24"/>
          <w:szCs w:val="24"/>
        </w:rPr>
      </w:pPr>
      <w:r w:rsidRPr="008401C7">
        <w:rPr>
          <w:rFonts w:ascii="仿宋" w:eastAsia="仿宋" w:hAnsi="仿宋" w:hint="eastAsia"/>
          <w:sz w:val="24"/>
          <w:szCs w:val="24"/>
        </w:rPr>
        <w:t>考试机房须接入Internet，采用Windows7专业版或者更新版本的Windows操作系统，并安装有兼容火狐或者Chrome的浏览器。</w:t>
      </w:r>
    </w:p>
    <w:bookmarkEnd w:id="3"/>
    <w:bookmarkEnd w:id="4"/>
    <w:p w:rsidR="00E449C2" w:rsidRDefault="0040175A">
      <w:pPr>
        <w:spacing w:line="360" w:lineRule="auto"/>
        <w:ind w:firstLineChars="200" w:firstLine="482"/>
        <w:rPr>
          <w:rFonts w:ascii="仿宋" w:eastAsia="仿宋" w:hAnsi="仿宋"/>
          <w:b/>
          <w:sz w:val="24"/>
          <w:szCs w:val="24"/>
        </w:rPr>
      </w:pPr>
      <w:r>
        <w:rPr>
          <w:rFonts w:ascii="仿宋" w:eastAsia="仿宋" w:hAnsi="仿宋" w:hint="eastAsia"/>
          <w:b/>
          <w:sz w:val="24"/>
          <w:szCs w:val="24"/>
        </w:rPr>
        <w:t>七</w:t>
      </w:r>
      <w:bookmarkStart w:id="5" w:name="_GoBack"/>
      <w:bookmarkEnd w:id="5"/>
      <w:r w:rsidR="00E95493">
        <w:rPr>
          <w:rFonts w:ascii="仿宋" w:eastAsia="仿宋" w:hAnsi="仿宋" w:hint="eastAsia"/>
          <w:b/>
          <w:sz w:val="24"/>
          <w:szCs w:val="24"/>
        </w:rPr>
        <w:t>、题型举例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现场完成提交的网络营销与策划案示例如下：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请为娃哈哈营养快线或</w:t>
      </w:r>
      <w:r>
        <w:rPr>
          <w:rFonts w:ascii="仿宋" w:eastAsia="仿宋" w:hAnsi="仿宋" w:hint="eastAsia"/>
          <w:sz w:val="24"/>
          <w:szCs w:val="24"/>
        </w:rPr>
        <w:t>A</w:t>
      </w:r>
      <w:r>
        <w:rPr>
          <w:rFonts w:ascii="仿宋" w:eastAsia="仿宋" w:hAnsi="仿宋"/>
          <w:sz w:val="24"/>
          <w:szCs w:val="24"/>
        </w:rPr>
        <w:t>D</w:t>
      </w:r>
      <w:proofErr w:type="gramStart"/>
      <w:r>
        <w:rPr>
          <w:rFonts w:ascii="仿宋" w:eastAsia="仿宋" w:hAnsi="仿宋" w:hint="eastAsia"/>
          <w:sz w:val="24"/>
          <w:szCs w:val="24"/>
        </w:rPr>
        <w:t>钙奶做一个</w:t>
      </w:r>
      <w:proofErr w:type="gramEnd"/>
      <w:r>
        <w:rPr>
          <w:rFonts w:ascii="仿宋" w:eastAsia="仿宋" w:hAnsi="仿宋" w:hint="eastAsia"/>
          <w:sz w:val="24"/>
          <w:szCs w:val="24"/>
        </w:rPr>
        <w:t>网络营销策划案</w:t>
      </w:r>
      <w:r>
        <w:rPr>
          <w:rFonts w:ascii="仿宋" w:eastAsia="仿宋" w:hAnsi="仿宋" w:hint="eastAsia"/>
          <w:sz w:val="24"/>
          <w:szCs w:val="24"/>
        </w:rPr>
        <w:t>P</w:t>
      </w:r>
      <w:r>
        <w:rPr>
          <w:rFonts w:ascii="仿宋" w:eastAsia="仿宋" w:hAnsi="仿宋"/>
          <w:sz w:val="24"/>
          <w:szCs w:val="24"/>
        </w:rPr>
        <w:t>PT</w:t>
      </w:r>
      <w:r>
        <w:rPr>
          <w:rFonts w:ascii="仿宋" w:eastAsia="仿宋" w:hAnsi="仿宋" w:hint="eastAsia"/>
          <w:sz w:val="24"/>
          <w:szCs w:val="24"/>
        </w:rPr>
        <w:t>，素材参见大</w:t>
      </w:r>
      <w:proofErr w:type="gramStart"/>
      <w:r>
        <w:rPr>
          <w:rFonts w:ascii="仿宋" w:eastAsia="仿宋" w:hAnsi="仿宋" w:hint="eastAsia"/>
          <w:sz w:val="24"/>
          <w:szCs w:val="24"/>
        </w:rPr>
        <w:t>广赛官</w:t>
      </w:r>
      <w:proofErr w:type="gramEnd"/>
      <w:r>
        <w:rPr>
          <w:rFonts w:ascii="仿宋" w:eastAsia="仿宋" w:hAnsi="仿宋" w:hint="eastAsia"/>
          <w:sz w:val="24"/>
          <w:szCs w:val="24"/>
        </w:rPr>
        <w:t>网娃哈哈命题。</w:t>
      </w:r>
      <w:hyperlink r:id="rId6" w:history="1">
        <w:r>
          <w:rPr>
            <w:rStyle w:val="a8"/>
            <w:rFonts w:ascii="仿宋" w:eastAsia="仿宋" w:hAnsi="仿宋"/>
            <w:sz w:val="24"/>
            <w:szCs w:val="24"/>
          </w:rPr>
          <w:t>https://www.sun-ada.net/home/zt_xqs2215.html</w:t>
        </w:r>
      </w:hyperlink>
      <w:r>
        <w:rPr>
          <w:rFonts w:ascii="仿宋" w:eastAsia="仿宋" w:hAnsi="仿宋"/>
          <w:sz w:val="24"/>
          <w:szCs w:val="24"/>
        </w:rPr>
        <w:t xml:space="preserve"> </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品牌：娃哈哈</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产</w:t>
      </w:r>
      <w:r>
        <w:rPr>
          <w:rFonts w:ascii="仿宋" w:eastAsia="仿宋" w:hAnsi="仿宋" w:hint="eastAsia"/>
          <w:sz w:val="24"/>
          <w:szCs w:val="24"/>
        </w:rPr>
        <w:t>品名称：</w:t>
      </w:r>
      <w:r>
        <w:rPr>
          <w:rFonts w:ascii="仿宋" w:eastAsia="仿宋" w:hAnsi="仿宋" w:hint="eastAsia"/>
          <w:sz w:val="24"/>
          <w:szCs w:val="24"/>
        </w:rPr>
        <w:t xml:space="preserve"> A</w:t>
      </w:r>
      <w:r>
        <w:rPr>
          <w:rFonts w:ascii="仿宋" w:eastAsia="仿宋" w:hAnsi="仿宋"/>
          <w:sz w:val="24"/>
          <w:szCs w:val="24"/>
        </w:rPr>
        <w:t>D</w:t>
      </w:r>
      <w:r>
        <w:rPr>
          <w:rFonts w:ascii="仿宋" w:eastAsia="仿宋" w:hAnsi="仿宋" w:hint="eastAsia"/>
          <w:sz w:val="24"/>
          <w:szCs w:val="24"/>
        </w:rPr>
        <w:t>钙奶</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品牌简介：</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娃哈哈创建于</w:t>
      </w:r>
      <w:r>
        <w:rPr>
          <w:rFonts w:ascii="仿宋" w:eastAsia="仿宋" w:hAnsi="仿宋" w:hint="eastAsia"/>
          <w:sz w:val="24"/>
          <w:szCs w:val="24"/>
        </w:rPr>
        <w:t>1987</w:t>
      </w:r>
      <w:r>
        <w:rPr>
          <w:rFonts w:ascii="仿宋" w:eastAsia="仿宋" w:hAnsi="仿宋" w:hint="eastAsia"/>
          <w:sz w:val="24"/>
          <w:szCs w:val="24"/>
        </w:rPr>
        <w:t>年，在创始人宗庆后的领导下，现已发展成为一家集产品研发、生产、销售为一体的大型食品饮料企业集团，在中国</w:t>
      </w:r>
      <w:r>
        <w:rPr>
          <w:rFonts w:ascii="仿宋" w:eastAsia="仿宋" w:hAnsi="仿宋" w:hint="eastAsia"/>
          <w:sz w:val="24"/>
          <w:szCs w:val="24"/>
        </w:rPr>
        <w:t>29</w:t>
      </w:r>
      <w:r>
        <w:rPr>
          <w:rFonts w:ascii="仿宋" w:eastAsia="仿宋" w:hAnsi="仿宋" w:hint="eastAsia"/>
          <w:sz w:val="24"/>
          <w:szCs w:val="24"/>
        </w:rPr>
        <w:t>个省、市、自治区建有</w:t>
      </w:r>
      <w:r>
        <w:rPr>
          <w:rFonts w:ascii="仿宋" w:eastAsia="仿宋" w:hAnsi="仿宋" w:hint="eastAsia"/>
          <w:sz w:val="24"/>
          <w:szCs w:val="24"/>
        </w:rPr>
        <w:t>80</w:t>
      </w:r>
      <w:r>
        <w:rPr>
          <w:rFonts w:ascii="仿宋" w:eastAsia="仿宋" w:hAnsi="仿宋" w:hint="eastAsia"/>
          <w:sz w:val="24"/>
          <w:szCs w:val="24"/>
        </w:rPr>
        <w:t>多个生产基地，</w:t>
      </w:r>
      <w:r>
        <w:rPr>
          <w:rFonts w:ascii="仿宋" w:eastAsia="仿宋" w:hAnsi="仿宋" w:hint="eastAsia"/>
          <w:sz w:val="24"/>
          <w:szCs w:val="24"/>
        </w:rPr>
        <w:t>180</w:t>
      </w:r>
      <w:r>
        <w:rPr>
          <w:rFonts w:ascii="仿宋" w:eastAsia="仿宋" w:hAnsi="仿宋" w:hint="eastAsia"/>
          <w:sz w:val="24"/>
          <w:szCs w:val="24"/>
        </w:rPr>
        <w:t>多家子公司，企业规模和效益连续二十余年处于行业领先地位。</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公司产品涵盖包装饮用水、碳酸饮料、茶饮料、咖啡饮料、特殊用途饮料、乳制品、医药保健食品等十余类</w:t>
      </w:r>
      <w:r>
        <w:rPr>
          <w:rFonts w:ascii="仿宋" w:eastAsia="仿宋" w:hAnsi="仿宋" w:hint="eastAsia"/>
          <w:sz w:val="24"/>
          <w:szCs w:val="24"/>
        </w:rPr>
        <w:t>200</w:t>
      </w:r>
      <w:r>
        <w:rPr>
          <w:rFonts w:ascii="仿宋" w:eastAsia="仿宋" w:hAnsi="仿宋" w:hint="eastAsia"/>
          <w:sz w:val="24"/>
          <w:szCs w:val="24"/>
        </w:rPr>
        <w:t>多个品种，其中纯净水、</w:t>
      </w:r>
      <w:r>
        <w:rPr>
          <w:rFonts w:ascii="仿宋" w:eastAsia="仿宋" w:hAnsi="仿宋" w:hint="eastAsia"/>
          <w:sz w:val="24"/>
          <w:szCs w:val="24"/>
        </w:rPr>
        <w:t>AD</w:t>
      </w:r>
      <w:r>
        <w:rPr>
          <w:rFonts w:ascii="仿宋" w:eastAsia="仿宋" w:hAnsi="仿宋" w:hint="eastAsia"/>
          <w:sz w:val="24"/>
          <w:szCs w:val="24"/>
        </w:rPr>
        <w:t>钙奶、营养快线、八宝粥是家喻户晓的国民产品。</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2013</w:t>
      </w:r>
      <w:r>
        <w:rPr>
          <w:rFonts w:ascii="仿宋" w:eastAsia="仿宋" w:hAnsi="仿宋" w:hint="eastAsia"/>
          <w:sz w:val="24"/>
          <w:szCs w:val="24"/>
        </w:rPr>
        <w:t>年，娃哈哈设立大学生营销实践基地，</w:t>
      </w:r>
      <w:r>
        <w:rPr>
          <w:rFonts w:ascii="仿宋" w:eastAsia="仿宋" w:hAnsi="仿宋" w:hint="eastAsia"/>
          <w:sz w:val="24"/>
          <w:szCs w:val="24"/>
        </w:rPr>
        <w:t>2015</w:t>
      </w:r>
      <w:r>
        <w:rPr>
          <w:rFonts w:ascii="仿宋" w:eastAsia="仿宋" w:hAnsi="仿宋" w:hint="eastAsia"/>
          <w:sz w:val="24"/>
          <w:szCs w:val="24"/>
        </w:rPr>
        <w:t>年起至今，娃哈哈已连续</w:t>
      </w:r>
      <w:r>
        <w:rPr>
          <w:rFonts w:ascii="仿宋" w:eastAsia="仿宋" w:hAnsi="仿宋" w:hint="eastAsia"/>
          <w:sz w:val="24"/>
          <w:szCs w:val="24"/>
        </w:rPr>
        <w:t>10</w:t>
      </w:r>
      <w:r>
        <w:rPr>
          <w:rFonts w:ascii="仿宋" w:eastAsia="仿宋" w:hAnsi="仿宋" w:hint="eastAsia"/>
          <w:sz w:val="24"/>
          <w:szCs w:val="24"/>
        </w:rPr>
        <w:t>年参</w:t>
      </w:r>
      <w:r>
        <w:rPr>
          <w:rFonts w:ascii="仿宋" w:eastAsia="仿宋" w:hAnsi="仿宋" w:hint="eastAsia"/>
          <w:sz w:val="24"/>
          <w:szCs w:val="24"/>
        </w:rPr>
        <w:t>与全国大学生广告艺术大赛，旨在通过竞赛、社会实践等项目，丰富校园文化生活，提升大学生综合能力及职业素养。娃哈哈敞开怀抱，欢迎你的参与！</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主题解析：</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AD</w:t>
      </w:r>
      <w:r>
        <w:rPr>
          <w:rFonts w:ascii="仿宋" w:eastAsia="仿宋" w:hAnsi="仿宋" w:hint="eastAsia"/>
          <w:sz w:val="24"/>
          <w:szCs w:val="24"/>
        </w:rPr>
        <w:t>钙奶——陪你酸酸甜甜</w:t>
      </w:r>
      <w:r>
        <w:rPr>
          <w:rFonts w:ascii="仿宋" w:eastAsia="仿宋" w:hAnsi="仿宋" w:hint="eastAsia"/>
          <w:sz w:val="24"/>
          <w:szCs w:val="24"/>
        </w:rPr>
        <w:t xml:space="preserve"> </w:t>
      </w:r>
      <w:r>
        <w:rPr>
          <w:rFonts w:ascii="仿宋" w:eastAsia="仿宋" w:hAnsi="仿宋" w:hint="eastAsia"/>
          <w:sz w:val="24"/>
          <w:szCs w:val="24"/>
        </w:rPr>
        <w:t>懂你可</w:t>
      </w:r>
      <w:proofErr w:type="gramStart"/>
      <w:r>
        <w:rPr>
          <w:rFonts w:ascii="仿宋" w:eastAsia="仿宋" w:hAnsi="仿宋" w:hint="eastAsia"/>
          <w:sz w:val="24"/>
          <w:szCs w:val="24"/>
        </w:rPr>
        <w:t>可爱</w:t>
      </w:r>
      <w:proofErr w:type="gramEnd"/>
      <w:r>
        <w:rPr>
          <w:rFonts w:ascii="仿宋" w:eastAsia="仿宋" w:hAnsi="仿宋" w:hint="eastAsia"/>
          <w:sz w:val="24"/>
          <w:szCs w:val="24"/>
        </w:rPr>
        <w:t>爱</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AD</w:t>
      </w:r>
      <w:r>
        <w:rPr>
          <w:rFonts w:ascii="仿宋" w:eastAsia="仿宋" w:hAnsi="仿宋" w:hint="eastAsia"/>
          <w:sz w:val="24"/>
          <w:szCs w:val="24"/>
        </w:rPr>
        <w:t>钙奶面世于</w:t>
      </w:r>
      <w:r>
        <w:rPr>
          <w:rFonts w:ascii="仿宋" w:eastAsia="仿宋" w:hAnsi="仿宋" w:hint="eastAsia"/>
          <w:sz w:val="24"/>
          <w:szCs w:val="24"/>
        </w:rPr>
        <w:t>1996</w:t>
      </w:r>
      <w:r>
        <w:rPr>
          <w:rFonts w:ascii="仿宋" w:eastAsia="仿宋" w:hAnsi="仿宋" w:hint="eastAsia"/>
          <w:sz w:val="24"/>
          <w:szCs w:val="24"/>
        </w:rPr>
        <w:t>年，它以牛奶为基础，又辅以维生素</w:t>
      </w:r>
      <w:r>
        <w:rPr>
          <w:rFonts w:ascii="仿宋" w:eastAsia="仿宋" w:hAnsi="仿宋" w:hint="eastAsia"/>
          <w:sz w:val="24"/>
          <w:szCs w:val="24"/>
        </w:rPr>
        <w:t>A</w:t>
      </w:r>
      <w:r>
        <w:rPr>
          <w:rFonts w:ascii="仿宋" w:eastAsia="仿宋" w:hAnsi="仿宋" w:hint="eastAsia"/>
          <w:sz w:val="24"/>
          <w:szCs w:val="24"/>
        </w:rPr>
        <w:t>、</w:t>
      </w:r>
      <w:r>
        <w:rPr>
          <w:rFonts w:ascii="仿宋" w:eastAsia="仿宋" w:hAnsi="仿宋" w:hint="eastAsia"/>
          <w:sz w:val="24"/>
          <w:szCs w:val="24"/>
        </w:rPr>
        <w:t>D</w:t>
      </w:r>
      <w:r>
        <w:rPr>
          <w:rFonts w:ascii="仿宋" w:eastAsia="仿宋" w:hAnsi="仿宋" w:hint="eastAsia"/>
          <w:sz w:val="24"/>
          <w:szCs w:val="24"/>
        </w:rPr>
        <w:t>和钙，酸酸甜甜有营养。产品推出后畅销不衰，陪伴了数代人的成长，已成为一个特殊的文化符号。近年来，</w:t>
      </w:r>
      <w:r>
        <w:rPr>
          <w:rFonts w:ascii="仿宋" w:eastAsia="仿宋" w:hAnsi="仿宋" w:hint="eastAsia"/>
          <w:sz w:val="24"/>
          <w:szCs w:val="24"/>
        </w:rPr>
        <w:t>AD</w:t>
      </w:r>
      <w:r>
        <w:rPr>
          <w:rFonts w:ascii="仿宋" w:eastAsia="仿宋" w:hAnsi="仿宋" w:hint="eastAsia"/>
          <w:sz w:val="24"/>
          <w:szCs w:val="24"/>
        </w:rPr>
        <w:t>钙</w:t>
      </w:r>
      <w:proofErr w:type="gramStart"/>
      <w:r>
        <w:rPr>
          <w:rFonts w:ascii="仿宋" w:eastAsia="仿宋" w:hAnsi="仿宋" w:hint="eastAsia"/>
          <w:sz w:val="24"/>
          <w:szCs w:val="24"/>
        </w:rPr>
        <w:t>奶持续</w:t>
      </w:r>
      <w:proofErr w:type="gramEnd"/>
      <w:r>
        <w:rPr>
          <w:rFonts w:ascii="仿宋" w:eastAsia="仿宋" w:hAnsi="仿宋" w:hint="eastAsia"/>
          <w:sz w:val="24"/>
          <w:szCs w:val="24"/>
        </w:rPr>
        <w:t>开展</w:t>
      </w:r>
      <w:r>
        <w:rPr>
          <w:rFonts w:ascii="仿宋" w:eastAsia="仿宋" w:hAnsi="仿宋" w:hint="eastAsia"/>
          <w:sz w:val="24"/>
          <w:szCs w:val="24"/>
        </w:rPr>
        <w:t>IP</w:t>
      </w:r>
      <w:r>
        <w:rPr>
          <w:rFonts w:ascii="仿宋" w:eastAsia="仿宋" w:hAnsi="仿宋" w:hint="eastAsia"/>
          <w:sz w:val="24"/>
          <w:szCs w:val="24"/>
        </w:rPr>
        <w:t>合作，以各种新奇有趣的方式，与年轻人玩在一起，享受无忧快乐。</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请结合</w:t>
      </w:r>
      <w:r>
        <w:rPr>
          <w:rFonts w:ascii="仿宋" w:eastAsia="仿宋" w:hAnsi="仿宋" w:hint="eastAsia"/>
          <w:sz w:val="24"/>
          <w:szCs w:val="24"/>
        </w:rPr>
        <w:t>AD</w:t>
      </w:r>
      <w:r>
        <w:rPr>
          <w:rFonts w:ascii="仿宋" w:eastAsia="仿宋" w:hAnsi="仿宋" w:hint="eastAsia"/>
          <w:sz w:val="24"/>
          <w:szCs w:val="24"/>
        </w:rPr>
        <w:t>钙奶产品属性和核心卖点，开展创意构思与内容创作，挖掘关于品牌策略和推广创意上</w:t>
      </w:r>
      <w:r>
        <w:rPr>
          <w:rFonts w:ascii="仿宋" w:eastAsia="仿宋" w:hAnsi="仿宋" w:hint="eastAsia"/>
          <w:sz w:val="24"/>
          <w:szCs w:val="24"/>
        </w:rPr>
        <w:t>的新思路、新想法，在巩固现有消费群体的同时，拓展新生代年轻群体，持续打造</w:t>
      </w:r>
      <w:r>
        <w:rPr>
          <w:rFonts w:ascii="仿宋" w:eastAsia="仿宋" w:hAnsi="仿宋" w:hint="eastAsia"/>
          <w:sz w:val="24"/>
          <w:szCs w:val="24"/>
        </w:rPr>
        <w:t>AD</w:t>
      </w:r>
      <w:r>
        <w:rPr>
          <w:rFonts w:ascii="仿宋" w:eastAsia="仿宋" w:hAnsi="仿宋" w:hint="eastAsia"/>
          <w:sz w:val="24"/>
          <w:szCs w:val="24"/>
        </w:rPr>
        <w:t>钙奶品牌</w:t>
      </w:r>
      <w:r>
        <w:rPr>
          <w:rFonts w:ascii="仿宋" w:eastAsia="仿宋" w:hAnsi="仿宋" w:hint="eastAsia"/>
          <w:sz w:val="24"/>
          <w:szCs w:val="24"/>
        </w:rPr>
        <w:t>IP</w:t>
      </w:r>
      <w:r>
        <w:rPr>
          <w:rFonts w:ascii="仿宋" w:eastAsia="仿宋" w:hAnsi="仿宋" w:hint="eastAsia"/>
          <w:sz w:val="24"/>
          <w:szCs w:val="24"/>
        </w:rPr>
        <w:t>。</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lastRenderedPageBreak/>
        <w:t>产品信息：</w:t>
      </w:r>
      <w:r>
        <w:rPr>
          <w:rFonts w:ascii="仿宋" w:eastAsia="仿宋" w:hAnsi="仿宋" w:hint="eastAsia"/>
          <w:bCs/>
          <w:sz w:val="24"/>
          <w:szCs w:val="24"/>
        </w:rPr>
        <w:t>AD</w:t>
      </w:r>
      <w:r>
        <w:rPr>
          <w:rFonts w:ascii="仿宋" w:eastAsia="仿宋" w:hAnsi="仿宋" w:hint="eastAsia"/>
          <w:bCs/>
          <w:sz w:val="24"/>
          <w:szCs w:val="24"/>
        </w:rPr>
        <w:t>钙奶</w:t>
      </w:r>
    </w:p>
    <w:p w:rsidR="00E449C2" w:rsidRDefault="00E95493">
      <w:pPr>
        <w:spacing w:line="360" w:lineRule="auto"/>
        <w:ind w:leftChars="200" w:left="42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产品口味：原味、草莓味、蜜桃味</w:t>
      </w:r>
      <w:r>
        <w:rPr>
          <w:rFonts w:ascii="仿宋" w:eastAsia="仿宋" w:hAnsi="仿宋" w:hint="eastAsia"/>
          <w:sz w:val="24"/>
          <w:szCs w:val="24"/>
        </w:rPr>
        <w:br/>
        <w:t>2.Slogan</w:t>
      </w:r>
      <w:r>
        <w:rPr>
          <w:rFonts w:ascii="仿宋" w:eastAsia="仿宋" w:hAnsi="仿宋" w:hint="eastAsia"/>
          <w:sz w:val="24"/>
          <w:szCs w:val="24"/>
        </w:rPr>
        <w:t>：陪你酸酸甜甜</w:t>
      </w:r>
      <w:r>
        <w:rPr>
          <w:rFonts w:ascii="仿宋" w:eastAsia="仿宋" w:hAnsi="仿宋" w:hint="eastAsia"/>
          <w:sz w:val="24"/>
          <w:szCs w:val="24"/>
        </w:rPr>
        <w:t xml:space="preserve"> </w:t>
      </w:r>
      <w:r>
        <w:rPr>
          <w:rFonts w:ascii="仿宋" w:eastAsia="仿宋" w:hAnsi="仿宋" w:hint="eastAsia"/>
          <w:sz w:val="24"/>
          <w:szCs w:val="24"/>
        </w:rPr>
        <w:t>懂你可</w:t>
      </w:r>
      <w:proofErr w:type="gramStart"/>
      <w:r>
        <w:rPr>
          <w:rFonts w:ascii="仿宋" w:eastAsia="仿宋" w:hAnsi="仿宋" w:hint="eastAsia"/>
          <w:sz w:val="24"/>
          <w:szCs w:val="24"/>
        </w:rPr>
        <w:t>可爱</w:t>
      </w:r>
      <w:proofErr w:type="gramEnd"/>
      <w:r>
        <w:rPr>
          <w:rFonts w:ascii="仿宋" w:eastAsia="仿宋" w:hAnsi="仿宋" w:hint="eastAsia"/>
          <w:sz w:val="24"/>
          <w:szCs w:val="24"/>
        </w:rPr>
        <w:t>爱</w:t>
      </w:r>
      <w:r>
        <w:rPr>
          <w:rFonts w:ascii="仿宋" w:eastAsia="仿宋" w:hAnsi="仿宋" w:hint="eastAsia"/>
          <w:sz w:val="24"/>
          <w:szCs w:val="24"/>
        </w:rPr>
        <w:br/>
        <w:t>3.</w:t>
      </w:r>
      <w:r>
        <w:rPr>
          <w:rFonts w:ascii="仿宋" w:eastAsia="仿宋" w:hAnsi="仿宋" w:hint="eastAsia"/>
          <w:sz w:val="24"/>
          <w:szCs w:val="24"/>
        </w:rPr>
        <w:t>产品定位：酸甜可爱、个性十足的乳饮料</w:t>
      </w:r>
      <w:r>
        <w:rPr>
          <w:rFonts w:ascii="仿宋" w:eastAsia="仿宋" w:hAnsi="仿宋" w:hint="eastAsia"/>
          <w:sz w:val="24"/>
          <w:szCs w:val="24"/>
        </w:rPr>
        <w:br/>
        <w:t>4.</w:t>
      </w:r>
      <w:r>
        <w:rPr>
          <w:rFonts w:ascii="仿宋" w:eastAsia="仿宋" w:hAnsi="仿宋" w:hint="eastAsia"/>
          <w:sz w:val="24"/>
          <w:szCs w:val="24"/>
        </w:rPr>
        <w:t>产品调性：童心、童趣、可爱、快乐</w:t>
      </w:r>
      <w:r>
        <w:rPr>
          <w:rFonts w:ascii="仿宋" w:eastAsia="仿宋" w:hAnsi="仿宋" w:hint="eastAsia"/>
          <w:sz w:val="24"/>
          <w:szCs w:val="24"/>
        </w:rPr>
        <w:br/>
        <w:t>5.</w:t>
      </w:r>
      <w:r>
        <w:rPr>
          <w:rFonts w:ascii="仿宋" w:eastAsia="仿宋" w:hAnsi="仿宋" w:hint="eastAsia"/>
          <w:sz w:val="24"/>
          <w:szCs w:val="24"/>
        </w:rPr>
        <w:t>核心卖点：</w:t>
      </w:r>
    </w:p>
    <w:p w:rsidR="00E449C2" w:rsidRDefault="00E95493">
      <w:pPr>
        <w:spacing w:line="360" w:lineRule="auto"/>
        <w:ind w:firstLineChars="200" w:firstLine="482"/>
        <w:rPr>
          <w:rFonts w:ascii="仿宋" w:eastAsia="仿宋" w:hAnsi="仿宋"/>
          <w:sz w:val="24"/>
          <w:szCs w:val="24"/>
        </w:rPr>
      </w:pPr>
      <w:r>
        <w:rPr>
          <w:rFonts w:ascii="仿宋" w:eastAsia="仿宋" w:hAnsi="仿宋" w:hint="eastAsia"/>
          <w:b/>
          <w:bCs/>
          <w:sz w:val="24"/>
          <w:szCs w:val="24"/>
        </w:rPr>
        <w:t>·</w:t>
      </w:r>
      <w:r>
        <w:rPr>
          <w:rFonts w:ascii="Calibri" w:eastAsia="仿宋" w:hAnsi="Calibri" w:cs="Calibri"/>
          <w:b/>
          <w:bCs/>
          <w:sz w:val="24"/>
          <w:szCs w:val="24"/>
        </w:rPr>
        <w:t> </w:t>
      </w:r>
      <w:r>
        <w:rPr>
          <w:rFonts w:ascii="仿宋" w:eastAsia="仿宋" w:hAnsi="仿宋" w:hint="eastAsia"/>
          <w:sz w:val="24"/>
          <w:szCs w:val="24"/>
        </w:rPr>
        <w:t>口味酸酸甜甜，大人小孩都爱喝</w:t>
      </w:r>
    </w:p>
    <w:p w:rsidR="00E449C2" w:rsidRDefault="00E95493">
      <w:pPr>
        <w:spacing w:line="360" w:lineRule="auto"/>
        <w:ind w:firstLineChars="200" w:firstLine="482"/>
        <w:rPr>
          <w:rFonts w:ascii="仿宋" w:eastAsia="仿宋" w:hAnsi="仿宋"/>
          <w:sz w:val="24"/>
          <w:szCs w:val="24"/>
        </w:rPr>
      </w:pPr>
      <w:r>
        <w:rPr>
          <w:rFonts w:ascii="仿宋" w:eastAsia="仿宋" w:hAnsi="仿宋" w:hint="eastAsia"/>
          <w:b/>
          <w:bCs/>
          <w:sz w:val="24"/>
          <w:szCs w:val="24"/>
        </w:rPr>
        <w:t>·</w:t>
      </w:r>
      <w:r>
        <w:rPr>
          <w:rFonts w:ascii="Calibri" w:eastAsia="仿宋" w:hAnsi="Calibri" w:cs="Calibri"/>
          <w:b/>
          <w:bCs/>
          <w:sz w:val="24"/>
          <w:szCs w:val="24"/>
        </w:rPr>
        <w:t> </w:t>
      </w:r>
      <w:r>
        <w:rPr>
          <w:rFonts w:ascii="仿宋" w:eastAsia="仿宋" w:hAnsi="仿宋" w:hint="eastAsia"/>
          <w:sz w:val="24"/>
          <w:szCs w:val="24"/>
        </w:rPr>
        <w:t>营养丰富，补充维生素</w:t>
      </w:r>
      <w:r>
        <w:rPr>
          <w:rFonts w:ascii="仿宋" w:eastAsia="仿宋" w:hAnsi="仿宋" w:hint="eastAsia"/>
          <w:sz w:val="24"/>
          <w:szCs w:val="24"/>
        </w:rPr>
        <w:t>A</w:t>
      </w:r>
      <w:r>
        <w:rPr>
          <w:rFonts w:ascii="仿宋" w:eastAsia="仿宋" w:hAnsi="仿宋" w:hint="eastAsia"/>
          <w:sz w:val="24"/>
          <w:szCs w:val="24"/>
        </w:rPr>
        <w:t>、</w:t>
      </w:r>
      <w:r>
        <w:rPr>
          <w:rFonts w:ascii="仿宋" w:eastAsia="仿宋" w:hAnsi="仿宋" w:hint="eastAsia"/>
          <w:sz w:val="24"/>
          <w:szCs w:val="24"/>
        </w:rPr>
        <w:t>D</w:t>
      </w:r>
      <w:r>
        <w:rPr>
          <w:rFonts w:ascii="仿宋" w:eastAsia="仿宋" w:hAnsi="仿宋" w:hint="eastAsia"/>
          <w:sz w:val="24"/>
          <w:szCs w:val="24"/>
        </w:rPr>
        <w:t>和钙</w:t>
      </w:r>
    </w:p>
    <w:p w:rsidR="00E449C2" w:rsidRDefault="00E95493">
      <w:pPr>
        <w:spacing w:line="360" w:lineRule="auto"/>
        <w:ind w:firstLineChars="200" w:firstLine="482"/>
        <w:rPr>
          <w:rFonts w:ascii="仿宋" w:eastAsia="仿宋" w:hAnsi="仿宋"/>
          <w:sz w:val="24"/>
          <w:szCs w:val="24"/>
        </w:rPr>
      </w:pPr>
      <w:r>
        <w:rPr>
          <w:rFonts w:ascii="仿宋" w:eastAsia="仿宋" w:hAnsi="仿宋" w:hint="eastAsia"/>
          <w:b/>
          <w:bCs/>
          <w:sz w:val="24"/>
          <w:szCs w:val="24"/>
        </w:rPr>
        <w:t>·</w:t>
      </w:r>
      <w:r>
        <w:rPr>
          <w:rFonts w:ascii="Calibri" w:eastAsia="仿宋" w:hAnsi="Calibri" w:cs="Calibri"/>
          <w:b/>
          <w:bCs/>
          <w:sz w:val="24"/>
          <w:szCs w:val="24"/>
        </w:rPr>
        <w:t> </w:t>
      </w:r>
      <w:r>
        <w:rPr>
          <w:rFonts w:ascii="仿宋" w:eastAsia="仿宋" w:hAnsi="仿宋" w:hint="eastAsia"/>
          <w:sz w:val="24"/>
          <w:szCs w:val="24"/>
        </w:rPr>
        <w:t>喝</w:t>
      </w:r>
      <w:r>
        <w:rPr>
          <w:rFonts w:ascii="仿宋" w:eastAsia="仿宋" w:hAnsi="仿宋" w:hint="eastAsia"/>
          <w:sz w:val="24"/>
          <w:szCs w:val="24"/>
        </w:rPr>
        <w:t>AD</w:t>
      </w:r>
      <w:r>
        <w:rPr>
          <w:rFonts w:ascii="仿宋" w:eastAsia="仿宋" w:hAnsi="仿宋" w:hint="eastAsia"/>
          <w:sz w:val="24"/>
          <w:szCs w:val="24"/>
        </w:rPr>
        <w:t>钙奶</w:t>
      </w:r>
      <w:r>
        <w:rPr>
          <w:rFonts w:ascii="仿宋" w:eastAsia="仿宋" w:hAnsi="仿宋" w:hint="eastAsia"/>
          <w:sz w:val="24"/>
          <w:szCs w:val="24"/>
        </w:rPr>
        <w:t>=</w:t>
      </w:r>
      <w:r>
        <w:rPr>
          <w:rFonts w:ascii="仿宋" w:eastAsia="仿宋" w:hAnsi="仿宋" w:hint="eastAsia"/>
          <w:sz w:val="24"/>
          <w:szCs w:val="24"/>
        </w:rPr>
        <w:t>享受片刻的童心和无忧</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广告目的：</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实现产品形象</w:t>
      </w:r>
      <w:proofErr w:type="gramStart"/>
      <w:r>
        <w:rPr>
          <w:rFonts w:ascii="仿宋" w:eastAsia="仿宋" w:hAnsi="仿宋" w:hint="eastAsia"/>
          <w:sz w:val="24"/>
          <w:szCs w:val="24"/>
        </w:rPr>
        <w:t>焕</w:t>
      </w:r>
      <w:proofErr w:type="gramEnd"/>
      <w:r>
        <w:rPr>
          <w:rFonts w:ascii="仿宋" w:eastAsia="仿宋" w:hAnsi="仿宋" w:hint="eastAsia"/>
          <w:sz w:val="24"/>
          <w:szCs w:val="24"/>
        </w:rPr>
        <w:t>新，塑造国民品牌经典</w:t>
      </w:r>
      <w:r>
        <w:rPr>
          <w:rFonts w:ascii="仿宋" w:eastAsia="仿宋" w:hAnsi="仿宋" w:hint="eastAsia"/>
          <w:sz w:val="24"/>
          <w:szCs w:val="24"/>
        </w:rPr>
        <w:t>IP</w:t>
      </w:r>
      <w:r>
        <w:rPr>
          <w:rFonts w:ascii="仿宋" w:eastAsia="仿宋" w:hAnsi="仿宋" w:hint="eastAsia"/>
          <w:sz w:val="24"/>
          <w:szCs w:val="24"/>
        </w:rPr>
        <w:t>。</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巩固原有消费群体，拓展新消费人群，提升产品市场份额。</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广告形式：</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 xml:space="preserve">1. </w:t>
      </w:r>
      <w:r>
        <w:rPr>
          <w:rFonts w:ascii="仿宋" w:eastAsia="仿宋" w:hAnsi="仿宋" w:hint="eastAsia"/>
          <w:bCs/>
          <w:sz w:val="24"/>
          <w:szCs w:val="24"/>
        </w:rPr>
        <w:t>校园营销方案类</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针对某一高校的推广方案。要求有明确的费用预算及投入产出比测算，可执行性高。活动预算单所高校不超过</w:t>
      </w:r>
      <w:r>
        <w:rPr>
          <w:rFonts w:ascii="仿宋" w:eastAsia="仿宋" w:hAnsi="仿宋" w:hint="eastAsia"/>
          <w:sz w:val="24"/>
          <w:szCs w:val="24"/>
        </w:rPr>
        <w:t>10</w:t>
      </w:r>
      <w:r>
        <w:rPr>
          <w:rFonts w:ascii="仿宋" w:eastAsia="仿宋" w:hAnsi="仿宋" w:hint="eastAsia"/>
          <w:sz w:val="24"/>
          <w:szCs w:val="24"/>
        </w:rPr>
        <w:t>万元人民币。推广方案须包含校内路</w:t>
      </w:r>
      <w:proofErr w:type="gramStart"/>
      <w:r>
        <w:rPr>
          <w:rFonts w:ascii="仿宋" w:eastAsia="仿宋" w:hAnsi="仿宋" w:hint="eastAsia"/>
          <w:sz w:val="24"/>
          <w:szCs w:val="24"/>
        </w:rPr>
        <w:t>演宣传</w:t>
      </w:r>
      <w:proofErr w:type="gramEnd"/>
      <w:r>
        <w:rPr>
          <w:rFonts w:ascii="仿宋" w:eastAsia="仿宋" w:hAnsi="仿宋" w:hint="eastAsia"/>
          <w:sz w:val="24"/>
          <w:szCs w:val="24"/>
        </w:rPr>
        <w:t>现场规划、现场互动方式、活动前线上预热宣传等部分。</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bCs/>
          <w:sz w:val="24"/>
          <w:szCs w:val="24"/>
        </w:rPr>
        <w:t xml:space="preserve">2. </w:t>
      </w:r>
      <w:r>
        <w:rPr>
          <w:rFonts w:ascii="仿宋" w:eastAsia="仿宋" w:hAnsi="仿宋" w:hint="eastAsia"/>
          <w:bCs/>
          <w:sz w:val="24"/>
          <w:szCs w:val="24"/>
        </w:rPr>
        <w:t>整合营销类</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制定营销策划方案，需</w:t>
      </w:r>
      <w:proofErr w:type="gramStart"/>
      <w:r>
        <w:rPr>
          <w:rFonts w:ascii="仿宋" w:eastAsia="仿宋" w:hAnsi="仿宋" w:hint="eastAsia"/>
          <w:sz w:val="24"/>
          <w:szCs w:val="24"/>
        </w:rPr>
        <w:t>整合线</w:t>
      </w:r>
      <w:proofErr w:type="gramEnd"/>
      <w:r>
        <w:rPr>
          <w:rFonts w:ascii="仿宋" w:eastAsia="仿宋" w:hAnsi="仿宋" w:hint="eastAsia"/>
          <w:sz w:val="24"/>
          <w:szCs w:val="24"/>
        </w:rPr>
        <w:t>上传播活动、线下品牌活动、线下促销活动或其他创新广告形式，要求有基本的营销逻辑和明确的内容创意表现，传播推广方案应当具有可执行性，全年推广预算不超过</w:t>
      </w:r>
      <w:r>
        <w:rPr>
          <w:rFonts w:ascii="仿宋" w:eastAsia="仿宋" w:hAnsi="仿宋" w:hint="eastAsia"/>
          <w:sz w:val="24"/>
          <w:szCs w:val="24"/>
        </w:rPr>
        <w:t>300</w:t>
      </w:r>
      <w:r>
        <w:rPr>
          <w:rFonts w:ascii="仿宋" w:eastAsia="仿宋" w:hAnsi="仿宋" w:hint="eastAsia"/>
          <w:sz w:val="24"/>
          <w:szCs w:val="24"/>
        </w:rPr>
        <w:t>万元人民币。</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目标人群：</w:t>
      </w:r>
    </w:p>
    <w:p w:rsidR="00E449C2" w:rsidRDefault="00E95493">
      <w:pPr>
        <w:spacing w:line="360" w:lineRule="auto"/>
        <w:ind w:firstLineChars="200" w:firstLine="480"/>
        <w:rPr>
          <w:rFonts w:ascii="仿宋" w:eastAsia="仿宋" w:hAnsi="仿宋"/>
          <w:sz w:val="24"/>
          <w:szCs w:val="24"/>
        </w:rPr>
      </w:pPr>
      <w:r>
        <w:rPr>
          <w:rFonts w:ascii="仿宋" w:eastAsia="仿宋" w:hAnsi="仿宋" w:hint="eastAsia"/>
          <w:sz w:val="24"/>
          <w:szCs w:val="24"/>
        </w:rPr>
        <w:t>泛</w:t>
      </w:r>
      <w:r>
        <w:rPr>
          <w:rFonts w:ascii="仿宋" w:eastAsia="仿宋" w:hAnsi="仿宋" w:hint="eastAsia"/>
          <w:sz w:val="24"/>
          <w:szCs w:val="24"/>
        </w:rPr>
        <w:t>90</w:t>
      </w:r>
      <w:r>
        <w:rPr>
          <w:rFonts w:ascii="仿宋" w:eastAsia="仿宋" w:hAnsi="仿宋" w:hint="eastAsia"/>
          <w:sz w:val="24"/>
          <w:szCs w:val="24"/>
        </w:rPr>
        <w:t>、</w:t>
      </w:r>
      <w:r>
        <w:rPr>
          <w:rFonts w:ascii="仿宋" w:eastAsia="仿宋" w:hAnsi="仿宋" w:hint="eastAsia"/>
          <w:sz w:val="24"/>
          <w:szCs w:val="24"/>
        </w:rPr>
        <w:t>00</w:t>
      </w:r>
      <w:r>
        <w:rPr>
          <w:rFonts w:ascii="仿宋" w:eastAsia="仿宋" w:hAnsi="仿宋" w:hint="eastAsia"/>
          <w:sz w:val="24"/>
          <w:szCs w:val="24"/>
        </w:rPr>
        <w:t>后，大学生群体、刚上班的白领为核心目标群体；</w:t>
      </w:r>
      <w:r>
        <w:rPr>
          <w:rFonts w:ascii="仿宋" w:eastAsia="仿宋" w:hAnsi="仿宋" w:hint="eastAsia"/>
          <w:sz w:val="24"/>
          <w:szCs w:val="24"/>
        </w:rPr>
        <w:t>10</w:t>
      </w:r>
      <w:r>
        <w:rPr>
          <w:rFonts w:ascii="仿宋" w:eastAsia="仿宋" w:hAnsi="仿宋" w:hint="eastAsia"/>
          <w:sz w:val="24"/>
          <w:szCs w:val="24"/>
        </w:rPr>
        <w:t>后，初、高中生等新生代消费群体为待扩展目标群体。</w:t>
      </w:r>
    </w:p>
    <w:p w:rsidR="00E449C2" w:rsidRDefault="00E95493">
      <w:pPr>
        <w:spacing w:line="360" w:lineRule="auto"/>
        <w:ind w:firstLineChars="200" w:firstLine="482"/>
        <w:rPr>
          <w:rFonts w:ascii="仿宋" w:eastAsia="仿宋" w:hAnsi="仿宋"/>
          <w:b/>
          <w:sz w:val="24"/>
          <w:szCs w:val="24"/>
        </w:rPr>
      </w:pPr>
      <w:r>
        <w:rPr>
          <w:rFonts w:ascii="仿宋" w:eastAsia="仿宋" w:hAnsi="仿宋" w:hint="eastAsia"/>
          <w:b/>
          <w:sz w:val="24"/>
          <w:szCs w:val="24"/>
        </w:rPr>
        <w:t>L</w:t>
      </w:r>
      <w:r>
        <w:rPr>
          <w:rFonts w:ascii="仿宋" w:eastAsia="仿宋" w:hAnsi="仿宋"/>
          <w:b/>
          <w:sz w:val="24"/>
          <w:szCs w:val="24"/>
        </w:rPr>
        <w:t>OGO</w:t>
      </w:r>
      <w:r>
        <w:rPr>
          <w:rFonts w:ascii="仿宋" w:eastAsia="仿宋" w:hAnsi="仿宋" w:hint="eastAsia"/>
          <w:b/>
          <w:sz w:val="24"/>
          <w:szCs w:val="24"/>
        </w:rPr>
        <w:t>及元素：</w:t>
      </w:r>
    </w:p>
    <w:p w:rsidR="00E449C2" w:rsidRDefault="00E95493">
      <w:pPr>
        <w:spacing w:line="360" w:lineRule="auto"/>
        <w:ind w:firstLineChars="200" w:firstLine="420"/>
        <w:rPr>
          <w:rFonts w:ascii="仿宋" w:eastAsia="仿宋" w:hAnsi="仿宋"/>
          <w:sz w:val="24"/>
          <w:szCs w:val="24"/>
        </w:rPr>
      </w:pPr>
      <w:r>
        <w:rPr>
          <w:rFonts w:ascii="仿宋" w:eastAsia="仿宋" w:hAnsi="仿宋"/>
          <w:noProof/>
        </w:rPr>
        <w:drawing>
          <wp:inline distT="0" distB="0" distL="0" distR="0">
            <wp:extent cx="3383915" cy="1130300"/>
            <wp:effectExtent l="0" t="0" r="6985" b="0"/>
            <wp:docPr id="1" name="图片 1" descr="C:\Users\LSF\AppData\Local\Temp\QQ_173363474706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LSF\AppData\Local\Temp\QQ_1733634747060.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3383915" cy="1130300"/>
                    </a:xfrm>
                    <a:prstGeom prst="rect">
                      <a:avLst/>
                    </a:prstGeom>
                    <a:noFill/>
                    <a:ln>
                      <a:noFill/>
                    </a:ln>
                  </pic:spPr>
                </pic:pic>
              </a:graphicData>
            </a:graphic>
          </wp:inline>
        </w:drawing>
      </w:r>
    </w:p>
    <w:p w:rsidR="00E449C2" w:rsidRDefault="00E95493">
      <w:pPr>
        <w:spacing w:line="360" w:lineRule="auto"/>
        <w:ind w:firstLineChars="200" w:firstLine="480"/>
        <w:rPr>
          <w:rFonts w:ascii="仿宋" w:eastAsia="仿宋" w:hAnsi="仿宋"/>
          <w:sz w:val="24"/>
          <w:szCs w:val="24"/>
        </w:rPr>
      </w:pPr>
      <w:r>
        <w:rPr>
          <w:rFonts w:ascii="仿宋" w:eastAsia="仿宋" w:hAnsi="仿宋"/>
          <w:noProof/>
          <w:sz w:val="24"/>
          <w:szCs w:val="24"/>
        </w:rPr>
        <w:lastRenderedPageBreak/>
        <w:drawing>
          <wp:inline distT="0" distB="0" distL="0" distR="0">
            <wp:extent cx="1972310" cy="3149600"/>
            <wp:effectExtent l="0" t="0" r="0" b="0"/>
            <wp:docPr id="2" name="图片 2" descr="G:\教学参考资料1\短视频与影视广告\生活用品\「娃哈哈」命题素材下载\产品图及logo\AD钙奶 100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G:\教学参考资料1\短视频与影视广告\生活用品\「娃哈哈」命题素材下载\产品图及logo\AD钙奶 100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88545" cy="3175578"/>
                    </a:xfrm>
                    <a:prstGeom prst="rect">
                      <a:avLst/>
                    </a:prstGeom>
                    <a:noFill/>
                    <a:ln>
                      <a:noFill/>
                    </a:ln>
                  </pic:spPr>
                </pic:pic>
              </a:graphicData>
            </a:graphic>
          </wp:inline>
        </w:drawing>
      </w:r>
    </w:p>
    <w:sectPr w:rsidR="00E449C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95493" w:rsidRDefault="00E95493" w:rsidP="008401C7">
      <w:r>
        <w:separator/>
      </w:r>
    </w:p>
  </w:endnote>
  <w:endnote w:type="continuationSeparator" w:id="0">
    <w:p w:rsidR="00E95493" w:rsidRDefault="00E95493" w:rsidP="00840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ongti SC Black">
    <w:altName w:val="宋体"/>
    <w:charset w:val="86"/>
    <w:family w:val="auto"/>
    <w:pitch w:val="default"/>
    <w:sig w:usb0="00000000" w:usb1="00000000" w:usb2="00000000" w:usb3="00000000" w:csb0="0016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95493" w:rsidRDefault="00E95493" w:rsidP="008401C7">
      <w:r>
        <w:separator/>
      </w:r>
    </w:p>
  </w:footnote>
  <w:footnote w:type="continuationSeparator" w:id="0">
    <w:p w:rsidR="00E95493" w:rsidRDefault="00E95493" w:rsidP="008401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Q2NGRjZmUxMThiN2IxODZhMGU0ZTk2NTkyNDkyOGYifQ=="/>
    <w:docVar w:name="KSO_WPS_MARK_KEY" w:val="a9708034-f6b9-47d2-b760-53a73594fa93"/>
  </w:docVars>
  <w:rsids>
    <w:rsidRoot w:val="00904486"/>
    <w:rsid w:val="00003CBE"/>
    <w:rsid w:val="00020D04"/>
    <w:rsid w:val="00052F25"/>
    <w:rsid w:val="0007512F"/>
    <w:rsid w:val="000A157D"/>
    <w:rsid w:val="000E46FA"/>
    <w:rsid w:val="000E5EED"/>
    <w:rsid w:val="001334A7"/>
    <w:rsid w:val="001359A9"/>
    <w:rsid w:val="0014255F"/>
    <w:rsid w:val="0017530E"/>
    <w:rsid w:val="00186B64"/>
    <w:rsid w:val="00191F94"/>
    <w:rsid w:val="001921EB"/>
    <w:rsid w:val="00192335"/>
    <w:rsid w:val="001F3C8C"/>
    <w:rsid w:val="00203F88"/>
    <w:rsid w:val="00215882"/>
    <w:rsid w:val="0024572F"/>
    <w:rsid w:val="002730ED"/>
    <w:rsid w:val="0027487A"/>
    <w:rsid w:val="002E7B2C"/>
    <w:rsid w:val="003037B2"/>
    <w:rsid w:val="00313DF4"/>
    <w:rsid w:val="00336188"/>
    <w:rsid w:val="003562CF"/>
    <w:rsid w:val="00366A54"/>
    <w:rsid w:val="00384336"/>
    <w:rsid w:val="003902DD"/>
    <w:rsid w:val="003C26FA"/>
    <w:rsid w:val="003D060E"/>
    <w:rsid w:val="003D76A8"/>
    <w:rsid w:val="0040175A"/>
    <w:rsid w:val="0043587C"/>
    <w:rsid w:val="00446A78"/>
    <w:rsid w:val="004875A6"/>
    <w:rsid w:val="004B0A1A"/>
    <w:rsid w:val="004B295B"/>
    <w:rsid w:val="004B6CEC"/>
    <w:rsid w:val="004B766A"/>
    <w:rsid w:val="004D3C4D"/>
    <w:rsid w:val="00513097"/>
    <w:rsid w:val="0052641A"/>
    <w:rsid w:val="005343B8"/>
    <w:rsid w:val="00545628"/>
    <w:rsid w:val="00564EDD"/>
    <w:rsid w:val="0058670C"/>
    <w:rsid w:val="0058760A"/>
    <w:rsid w:val="0059493B"/>
    <w:rsid w:val="005B07F4"/>
    <w:rsid w:val="005B3617"/>
    <w:rsid w:val="00624592"/>
    <w:rsid w:val="00653034"/>
    <w:rsid w:val="006532CD"/>
    <w:rsid w:val="006A49A7"/>
    <w:rsid w:val="006D51D7"/>
    <w:rsid w:val="006D6109"/>
    <w:rsid w:val="006F48F7"/>
    <w:rsid w:val="006F6E62"/>
    <w:rsid w:val="00710F82"/>
    <w:rsid w:val="00744FD6"/>
    <w:rsid w:val="00761104"/>
    <w:rsid w:val="007919EB"/>
    <w:rsid w:val="00795527"/>
    <w:rsid w:val="007A31E3"/>
    <w:rsid w:val="007B4D27"/>
    <w:rsid w:val="007E45AD"/>
    <w:rsid w:val="00817BDE"/>
    <w:rsid w:val="008401C7"/>
    <w:rsid w:val="008A1FF2"/>
    <w:rsid w:val="008D161F"/>
    <w:rsid w:val="00904486"/>
    <w:rsid w:val="0090589A"/>
    <w:rsid w:val="00927793"/>
    <w:rsid w:val="00943A59"/>
    <w:rsid w:val="009808DE"/>
    <w:rsid w:val="009953C0"/>
    <w:rsid w:val="009B4F3A"/>
    <w:rsid w:val="009C061F"/>
    <w:rsid w:val="009C142C"/>
    <w:rsid w:val="009F7EBD"/>
    <w:rsid w:val="00A24454"/>
    <w:rsid w:val="00A42AED"/>
    <w:rsid w:val="00A85D71"/>
    <w:rsid w:val="00AA7908"/>
    <w:rsid w:val="00AC747C"/>
    <w:rsid w:val="00AF0C44"/>
    <w:rsid w:val="00B15F45"/>
    <w:rsid w:val="00B200AC"/>
    <w:rsid w:val="00B20837"/>
    <w:rsid w:val="00B57A48"/>
    <w:rsid w:val="00B8369A"/>
    <w:rsid w:val="00BA0CD9"/>
    <w:rsid w:val="00BB4EE9"/>
    <w:rsid w:val="00BC6E89"/>
    <w:rsid w:val="00BD6A50"/>
    <w:rsid w:val="00BD6B8F"/>
    <w:rsid w:val="00BF14DE"/>
    <w:rsid w:val="00C04D8F"/>
    <w:rsid w:val="00C143E9"/>
    <w:rsid w:val="00C27C54"/>
    <w:rsid w:val="00C950F7"/>
    <w:rsid w:val="00CA4DF5"/>
    <w:rsid w:val="00CB70A3"/>
    <w:rsid w:val="00CD06F1"/>
    <w:rsid w:val="00CD3AB2"/>
    <w:rsid w:val="00CD3CC4"/>
    <w:rsid w:val="00CD7041"/>
    <w:rsid w:val="00D33AB5"/>
    <w:rsid w:val="00D57951"/>
    <w:rsid w:val="00D73506"/>
    <w:rsid w:val="00D7580A"/>
    <w:rsid w:val="00DA0C06"/>
    <w:rsid w:val="00DB14D2"/>
    <w:rsid w:val="00DB4F30"/>
    <w:rsid w:val="00DE0700"/>
    <w:rsid w:val="00DF067B"/>
    <w:rsid w:val="00E028F0"/>
    <w:rsid w:val="00E3781E"/>
    <w:rsid w:val="00E449C2"/>
    <w:rsid w:val="00E52268"/>
    <w:rsid w:val="00E9491E"/>
    <w:rsid w:val="00E95493"/>
    <w:rsid w:val="00EC5683"/>
    <w:rsid w:val="00EE0DD7"/>
    <w:rsid w:val="00EE77CF"/>
    <w:rsid w:val="00EF3DCB"/>
    <w:rsid w:val="00F6267B"/>
    <w:rsid w:val="00F92AD5"/>
    <w:rsid w:val="00FD37EC"/>
    <w:rsid w:val="00FE2D14"/>
    <w:rsid w:val="21A87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01CA31"/>
  <w15:docId w15:val="{68EBAB48-ECE8-48E3-A237-DB95CEFB5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link w:val="10"/>
    <w:qFormat/>
    <w:pPr>
      <w:keepNext/>
      <w:spacing w:before="180" w:after="180" w:line="720" w:lineRule="auto"/>
      <w:outlineLvl w:val="0"/>
    </w:pPr>
    <w:rPr>
      <w:rFonts w:ascii="Songti SC Black" w:eastAsia="仿宋_GB2312" w:hAnsi="Songti SC Black" w:cs="Times New Roman"/>
      <w:b/>
      <w:kern w:val="52"/>
      <w:sz w:val="40"/>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rPr>
      <w:rFonts w:ascii="Times New Roman" w:hAnsi="Times New Roman" w:cs="Times New Roman"/>
      <w:sz w:val="24"/>
      <w:szCs w:val="24"/>
    </w:rPr>
  </w:style>
  <w:style w:type="character" w:styleId="a8">
    <w:name w:val="Hyperlink"/>
    <w:basedOn w:val="a0"/>
    <w:uiPriority w:val="99"/>
    <w:unhideWhenUsed/>
    <w:qFormat/>
    <w:rPr>
      <w:color w:val="0000FF" w:themeColor="hyperlink"/>
      <w:u w:val="single"/>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 w:type="character" w:customStyle="1" w:styleId="10">
    <w:name w:val="标题 1 字符"/>
    <w:basedOn w:val="a0"/>
    <w:link w:val="1"/>
    <w:rPr>
      <w:rFonts w:ascii="Songti SC Black" w:eastAsia="仿宋_GB2312" w:hAnsi="Songti SC Black" w:cs="Times New Roman"/>
      <w:b/>
      <w:kern w:val="52"/>
      <w:sz w:val="40"/>
      <w:szCs w:val="24"/>
    </w:rPr>
  </w:style>
  <w:style w:type="character" w:customStyle="1" w:styleId="11">
    <w:name w:val="未处理的提及1"/>
    <w:basedOn w:val="a0"/>
    <w:uiPriority w:val="99"/>
    <w:semiHidden/>
    <w:unhideWhenUsed/>
    <w:rPr>
      <w:color w:val="605E5C"/>
      <w:shd w:val="clear" w:color="auto" w:fill="E1DFDD"/>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un-ada.net/home/zt_xqs2215.htm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5</Pages>
  <Words>418</Words>
  <Characters>2388</Characters>
  <Application>Microsoft Office Word</Application>
  <DocSecurity>0</DocSecurity>
  <Lines>19</Lines>
  <Paragraphs>5</Paragraphs>
  <ScaleCrop>false</ScaleCrop>
  <Company>P R C</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hp</cp:lastModifiedBy>
  <cp:revision>30</cp:revision>
  <dcterms:created xsi:type="dcterms:W3CDTF">2024-12-08T02:09:00Z</dcterms:created>
  <dcterms:modified xsi:type="dcterms:W3CDTF">2025-05-07T02:40:00Z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FAC0E977D78246D0A01E98BD6EC131FC</vt:lpwstr>
  </property>
</Properties>
</file>