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40"/>
          <w:szCs w:val="40"/>
        </w:rPr>
      </w:pPr>
      <w:r>
        <w:rPr>
          <w:rFonts w:hint="eastAsia"/>
          <w:b/>
          <w:bCs/>
          <w:sz w:val="40"/>
          <w:szCs w:val="40"/>
          <w:lang w:val="en-US" w:eastAsia="zh-CN"/>
        </w:rPr>
        <w:t>上海立信会计金融学院</w:t>
      </w:r>
      <w:r>
        <w:rPr>
          <w:rFonts w:hint="eastAsia"/>
          <w:b/>
          <w:bCs/>
          <w:sz w:val="40"/>
          <w:szCs w:val="40"/>
        </w:rPr>
        <w:t>学生操作说明</w:t>
      </w:r>
    </w:p>
    <w:p>
      <w:pPr>
        <w:jc w:val="center"/>
        <w:rPr>
          <w:b/>
          <w:bCs/>
          <w:sz w:val="28"/>
          <w:szCs w:val="28"/>
        </w:rPr>
      </w:pPr>
    </w:p>
    <w:p>
      <w:pPr>
        <w:pStyle w:val="2"/>
        <w:numPr>
          <w:ilvl w:val="0"/>
          <w:numId w:val="1"/>
        </w:numPr>
        <w:bidi w:val="0"/>
        <w:rPr>
          <w:rFonts w:hint="eastAsia"/>
        </w:rPr>
      </w:pPr>
      <w:r>
        <w:rPr>
          <w:rFonts w:hint="eastAsia"/>
        </w:rPr>
        <w:t>学生访问登录</w:t>
      </w:r>
    </w:p>
    <w:p>
      <w:pPr>
        <w:pStyle w:val="3"/>
        <w:numPr>
          <w:ilvl w:val="1"/>
          <w:numId w:val="1"/>
        </w:numPr>
        <w:bidi w:val="0"/>
        <w:rPr>
          <w:rFonts w:hint="eastAsia"/>
        </w:rPr>
      </w:pPr>
      <w:r>
        <w:rPr>
          <w:rFonts w:hint="eastAsia"/>
          <w:lang w:val="en-US" w:eastAsia="zh-CN"/>
        </w:rPr>
        <w:t>通过“市教委”专栏选择对应学校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（1）学生登录“随申办市民云App</w:t>
      </w:r>
      <w:r>
        <w:rPr>
          <w:rFonts w:ascii="仿宋" w:hAnsi="仿宋" w:eastAsia="仿宋"/>
          <w:sz w:val="24"/>
          <w:szCs w:val="24"/>
        </w:rPr>
        <w:t>”</w:t>
      </w:r>
      <w:r>
        <w:rPr>
          <w:rFonts w:hint="eastAsia" w:ascii="仿宋" w:hAnsi="仿宋" w:eastAsia="仿宋"/>
          <w:sz w:val="24"/>
          <w:szCs w:val="24"/>
        </w:rPr>
        <w:t>后，在随申办首页点击办事，如图1；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（2）在“办事”栏目中找到“市教委”，如图2；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（3）进入市教委板块后，可发现教育缴费专栏；如图3；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（4）点击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上海立信会计金融学院</w:t>
      </w:r>
      <w:r>
        <w:rPr>
          <w:rFonts w:hint="eastAsia" w:ascii="仿宋" w:hAnsi="仿宋" w:eastAsia="仿宋"/>
          <w:sz w:val="24"/>
          <w:szCs w:val="24"/>
        </w:rPr>
        <w:t>学费缴纳链接后，进入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上海立信会计金融学院</w:t>
      </w:r>
      <w:r>
        <w:rPr>
          <w:rFonts w:hint="eastAsia" w:ascii="仿宋" w:hAnsi="仿宋" w:eastAsia="仿宋"/>
          <w:sz w:val="24"/>
          <w:szCs w:val="24"/>
        </w:rPr>
        <w:t>学生缴费门户，如图4；</w:t>
      </w:r>
    </w:p>
    <w:p>
      <w:pPr>
        <w:spacing w:line="360" w:lineRule="auto"/>
        <w:ind w:firstLine="420" w:firstLineChars="200"/>
        <w:rPr>
          <w:rFonts w:hint="eastAsia" w:ascii="仿宋" w:hAnsi="仿宋" w:eastAsia="仿宋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1846580" cy="4104005"/>
            <wp:effectExtent l="0" t="0" r="12700" b="1079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/>
          <w:sz w:val="24"/>
          <w:szCs w:val="24"/>
        </w:rPr>
        <w:t xml:space="preserve"> </w:t>
      </w:r>
      <w:r>
        <w:drawing>
          <wp:inline distT="0" distB="0" distL="114300" distR="114300">
            <wp:extent cx="1846580" cy="4104005"/>
            <wp:effectExtent l="0" t="0" r="12700" b="1079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hAnsi="仿宋" w:eastAsia="仿宋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 </w:t>
      </w:r>
      <w:r>
        <w:rPr>
          <w:rFonts w:ascii="仿宋" w:hAnsi="仿宋" w:eastAsia="仿宋"/>
          <w:sz w:val="24"/>
          <w:szCs w:val="24"/>
        </w:rPr>
        <w:drawing>
          <wp:inline distT="0" distB="0" distL="114300" distR="114300">
            <wp:extent cx="1846580" cy="4104005"/>
            <wp:effectExtent l="0" t="0" r="12700" b="10795"/>
            <wp:docPr id="8" name="图片 8" descr="20221122170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022112217091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 xml:space="preserve"> </w:t>
      </w:r>
      <w:r>
        <w:rPr>
          <w:rFonts w:ascii="仿宋" w:hAnsi="仿宋" w:eastAsia="仿宋"/>
          <w:sz w:val="24"/>
          <w:szCs w:val="24"/>
        </w:rPr>
        <w:t xml:space="preserve">          </w:t>
      </w:r>
      <w:r>
        <w:rPr>
          <w:rFonts w:hint="eastAsia" w:ascii="仿宋" w:hAnsi="仿宋" w:eastAsia="仿宋"/>
          <w:sz w:val="24"/>
          <w:szCs w:val="24"/>
        </w:rPr>
        <w:t>图1</w:t>
      </w:r>
      <w:r>
        <w:rPr>
          <w:rFonts w:ascii="仿宋" w:hAnsi="仿宋" w:eastAsia="仿宋"/>
          <w:sz w:val="24"/>
          <w:szCs w:val="24"/>
        </w:rPr>
        <w:t xml:space="preserve">                       </w:t>
      </w:r>
      <w:r>
        <w:rPr>
          <w:rFonts w:hint="eastAsia" w:ascii="仿宋" w:hAnsi="仿宋" w:eastAsia="仿宋"/>
          <w:sz w:val="24"/>
          <w:szCs w:val="24"/>
        </w:rPr>
        <w:t>图2</w:t>
      </w:r>
      <w:r>
        <w:rPr>
          <w:rFonts w:ascii="仿宋" w:hAnsi="仿宋" w:eastAsia="仿宋"/>
          <w:sz w:val="24"/>
          <w:szCs w:val="24"/>
        </w:rPr>
        <w:t xml:space="preserve">                      </w:t>
      </w:r>
      <w:r>
        <w:rPr>
          <w:rFonts w:hint="eastAsia" w:ascii="仿宋" w:hAnsi="仿宋" w:eastAsia="仿宋"/>
          <w:sz w:val="24"/>
          <w:szCs w:val="24"/>
        </w:rPr>
        <w:t>图3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ind w:firstLine="420" w:firstLineChars="200"/>
      </w:pPr>
      <w:r>
        <w:t xml:space="preserve"> </w:t>
      </w:r>
      <w:r>
        <w:rPr>
          <w:rFonts w:hint="eastAsia"/>
          <w:lang w:val="en-US" w:eastAsia="zh-CN"/>
        </w:rPr>
        <w:t xml:space="preserve">    </w:t>
      </w:r>
      <w:r>
        <w:drawing>
          <wp:inline distT="0" distB="0" distL="114300" distR="114300">
            <wp:extent cx="2992755" cy="6478270"/>
            <wp:effectExtent l="0" t="0" r="17145" b="17780"/>
            <wp:docPr id="3" name="图片 3" descr="acced1d4a860d2c1b968c30d5c2f2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acced1d4a860d2c1b968c30d5c2f2c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92755" cy="647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200"/>
        <w:rPr>
          <w:rFonts w:hint="eastAsia" w:ascii="仿宋" w:hAnsi="仿宋" w:eastAsia="仿宋"/>
          <w:sz w:val="24"/>
          <w:szCs w:val="24"/>
        </w:rPr>
      </w:pPr>
      <w:r>
        <w:rPr>
          <w:rFonts w:hint="eastAsia"/>
        </w:rPr>
        <w:t xml:space="preserve"> </w:t>
      </w:r>
      <w:r>
        <w:t xml:space="preserve"> </w:t>
      </w:r>
      <w:r>
        <w:rPr>
          <w:rFonts w:ascii="仿宋" w:hAnsi="仿宋" w:eastAsia="仿宋"/>
          <w:sz w:val="24"/>
          <w:szCs w:val="24"/>
        </w:rPr>
        <w:t xml:space="preserve">         </w:t>
      </w:r>
      <w:r>
        <w:rPr>
          <w:rFonts w:hint="eastAsia" w:ascii="仿宋" w:hAnsi="仿宋" w:eastAsia="仿宋"/>
          <w:sz w:val="24"/>
          <w:szCs w:val="24"/>
        </w:rPr>
        <w:t>图4</w:t>
      </w:r>
      <w:r>
        <w:rPr>
          <w:rFonts w:ascii="仿宋" w:hAnsi="仿宋" w:eastAsia="仿宋"/>
          <w:sz w:val="24"/>
          <w:szCs w:val="24"/>
        </w:rPr>
        <w:t xml:space="preserve">          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  </w:t>
      </w:r>
      <w:r>
        <w:rPr>
          <w:rFonts w:ascii="仿宋" w:hAnsi="仿宋" w:eastAsia="仿宋"/>
          <w:sz w:val="24"/>
          <w:szCs w:val="24"/>
        </w:rPr>
        <w:t xml:space="preserve">         </w:t>
      </w:r>
    </w:p>
    <w:p>
      <w:pPr>
        <w:pStyle w:val="3"/>
        <w:numPr>
          <w:ilvl w:val="1"/>
          <w:numId w:val="1"/>
        </w:numPr>
        <w:bidi w:val="0"/>
        <w:rPr>
          <w:rFonts w:hint="eastAsia"/>
        </w:rPr>
      </w:pPr>
      <w:r>
        <w:rPr>
          <w:rFonts w:hint="eastAsia"/>
          <w:lang w:val="en-US" w:eastAsia="zh-CN"/>
        </w:rPr>
        <w:t>搜索框搜索学校名称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（1）学生登录“随申办市民云App</w:t>
      </w:r>
      <w:r>
        <w:rPr>
          <w:rFonts w:ascii="仿宋" w:hAnsi="仿宋" w:eastAsia="仿宋"/>
          <w:sz w:val="24"/>
          <w:szCs w:val="24"/>
        </w:rPr>
        <w:t>”</w:t>
      </w:r>
      <w:r>
        <w:rPr>
          <w:rFonts w:hint="eastAsia" w:ascii="仿宋" w:hAnsi="仿宋" w:eastAsia="仿宋"/>
          <w:sz w:val="24"/>
          <w:szCs w:val="24"/>
        </w:rPr>
        <w:t>后，在随申办首页点击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搜索框</w:t>
      </w:r>
      <w:r>
        <w:rPr>
          <w:rFonts w:hint="eastAsia" w:ascii="仿宋" w:hAnsi="仿宋" w:eastAsia="仿宋"/>
          <w:sz w:val="24"/>
          <w:szCs w:val="24"/>
        </w:rPr>
        <w:t>，如图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/>
          <w:sz w:val="24"/>
          <w:szCs w:val="24"/>
        </w:rPr>
        <w:t>；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（2）在</w:t>
      </w:r>
      <w:r>
        <w:rPr>
          <w:rFonts w:hint="eastAsia" w:ascii="仿宋" w:hAnsi="仿宋" w:eastAsia="仿宋"/>
          <w:sz w:val="24"/>
          <w:szCs w:val="24"/>
          <w:lang w:eastAsia="zh-CN"/>
        </w:rPr>
        <w:t>“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搜索框</w:t>
      </w:r>
      <w:r>
        <w:rPr>
          <w:rFonts w:hint="eastAsia" w:ascii="仿宋" w:hAnsi="仿宋" w:eastAsia="仿宋"/>
          <w:sz w:val="24"/>
          <w:szCs w:val="24"/>
          <w:lang w:eastAsia="zh-CN"/>
        </w:rPr>
        <w:t>”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输入“上海立信会计金融学院”</w:t>
      </w:r>
      <w:r>
        <w:rPr>
          <w:rFonts w:hint="eastAsia" w:ascii="仿宋" w:hAnsi="仿宋" w:eastAsia="仿宋"/>
          <w:sz w:val="24"/>
          <w:szCs w:val="24"/>
        </w:rPr>
        <w:t>，如图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/>
          <w:sz w:val="24"/>
          <w:szCs w:val="24"/>
        </w:rPr>
        <w:t>；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（3）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查询结果栏，点击“上海立信会计金融学院学费缴纳”，即可</w:t>
      </w:r>
      <w:r>
        <w:rPr>
          <w:rFonts w:hint="eastAsia" w:ascii="仿宋" w:hAnsi="仿宋" w:eastAsia="仿宋"/>
          <w:sz w:val="24"/>
          <w:szCs w:val="24"/>
        </w:rPr>
        <w:t>进入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上海立信会计金融学院</w:t>
      </w:r>
      <w:r>
        <w:rPr>
          <w:rFonts w:hint="eastAsia" w:ascii="仿宋" w:hAnsi="仿宋" w:eastAsia="仿宋"/>
          <w:sz w:val="24"/>
          <w:szCs w:val="24"/>
        </w:rPr>
        <w:t>学生缴费门户</w:t>
      </w:r>
      <w:r>
        <w:rPr>
          <w:rFonts w:hint="eastAsia" w:ascii="仿宋" w:hAnsi="仿宋" w:eastAsia="仿宋"/>
          <w:sz w:val="24"/>
          <w:szCs w:val="24"/>
          <w:lang w:eastAsia="zh-CN"/>
        </w:rPr>
        <w:t>。</w:t>
      </w:r>
      <w:r>
        <w:rPr>
          <w:rFonts w:hint="eastAsia" w:ascii="仿宋" w:hAnsi="仿宋" w:eastAsia="仿宋"/>
          <w:sz w:val="24"/>
          <w:szCs w:val="24"/>
        </w:rPr>
        <w:t>如图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8，图4</w:t>
      </w:r>
      <w:r>
        <w:rPr>
          <w:rFonts w:hint="eastAsia" w:ascii="仿宋" w:hAnsi="仿宋" w:eastAsia="仿宋"/>
          <w:sz w:val="24"/>
          <w:szCs w:val="24"/>
        </w:rPr>
        <w:t>；</w:t>
      </w:r>
    </w:p>
    <w:p>
      <w:pPr>
        <w:rPr>
          <w:rFonts w:hint="eastAsia"/>
        </w:rPr>
      </w:pPr>
    </w:p>
    <w:p>
      <w:pPr>
        <w:spacing w:line="360" w:lineRule="auto"/>
        <w:ind w:firstLine="420" w:firstLineChars="200"/>
      </w:pPr>
      <w:r>
        <w:drawing>
          <wp:inline distT="0" distB="0" distL="114300" distR="114300">
            <wp:extent cx="1846580" cy="4104005"/>
            <wp:effectExtent l="0" t="0" r="12700" b="10795"/>
            <wp:docPr id="20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1846580" cy="4104005"/>
            <wp:effectExtent l="0" t="0" r="12700" b="10795"/>
            <wp:docPr id="2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1846580" cy="4104005"/>
            <wp:effectExtent l="0" t="0" r="12700" b="10795"/>
            <wp:docPr id="24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200"/>
        <w:rPr>
          <w:rFonts w:hint="default" w:eastAsia="仿宋"/>
          <w:lang w:val="en-US" w:eastAsia="zh-CN"/>
        </w:rPr>
      </w:pPr>
      <w:r>
        <w:rPr>
          <w:rFonts w:hint="eastAsia"/>
        </w:rPr>
        <w:t xml:space="preserve"> </w:t>
      </w:r>
      <w:r>
        <w:t xml:space="preserve"> </w:t>
      </w:r>
      <w:r>
        <w:rPr>
          <w:rFonts w:ascii="仿宋" w:hAnsi="仿宋" w:eastAsia="仿宋"/>
          <w:sz w:val="24"/>
          <w:szCs w:val="24"/>
        </w:rPr>
        <w:t xml:space="preserve">         </w:t>
      </w:r>
      <w:r>
        <w:rPr>
          <w:rFonts w:hint="eastAsia" w:ascii="仿宋" w:hAnsi="仿宋" w:eastAsia="仿宋"/>
          <w:sz w:val="24"/>
          <w:szCs w:val="24"/>
        </w:rPr>
        <w:t>图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6</w:t>
      </w:r>
      <w:r>
        <w:rPr>
          <w:rFonts w:ascii="仿宋" w:hAnsi="仿宋" w:eastAsia="仿宋"/>
          <w:sz w:val="24"/>
          <w:szCs w:val="24"/>
        </w:rPr>
        <w:t xml:space="preserve">  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                   图7                      图8</w:t>
      </w:r>
    </w:p>
    <w:p>
      <w:pPr>
        <w:pStyle w:val="3"/>
        <w:numPr>
          <w:ilvl w:val="1"/>
          <w:numId w:val="1"/>
        </w:num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扫描二维码进入</w:t>
      </w:r>
    </w:p>
    <w:p>
      <w:pPr>
        <w:rPr>
          <w:rFonts w:hint="default"/>
          <w:lang w:val="en-US" w:eastAsia="zh-CN"/>
        </w:rPr>
      </w:pPr>
      <w:bookmarkStart w:id="0" w:name="_GoBack"/>
      <w:r>
        <w:rPr>
          <w:rFonts w:hint="default"/>
          <w:lang w:val="en-US" w:eastAsia="zh-CN"/>
        </w:rPr>
        <w:drawing>
          <wp:inline distT="0" distB="0" distL="114300" distR="114300">
            <wp:extent cx="3516630" cy="3516630"/>
            <wp:effectExtent l="0" t="0" r="7620" b="7620"/>
            <wp:docPr id="4" name="图片 4" descr="c69ea49a060d1b17b601f11347c67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69ea49a060d1b17b601f11347c676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16630" cy="351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spacing w:line="360" w:lineRule="auto"/>
        <w:ind w:firstLine="480" w:firstLineChars="200"/>
        <w:rPr>
          <w:rFonts w:hint="default" w:ascii="仿宋" w:hAnsi="仿宋" w:eastAsia="仿宋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/>
          <w:sz w:val="24"/>
          <w:szCs w:val="24"/>
          <w:u w:val="none"/>
          <w:lang w:val="en-US" w:eastAsia="zh-CN"/>
        </w:rPr>
        <w:t>（1）.使用“</w:t>
      </w:r>
      <w:r>
        <w:rPr>
          <w:rFonts w:hint="eastAsia" w:ascii="仿宋" w:hAnsi="仿宋" w:eastAsia="仿宋"/>
          <w:sz w:val="24"/>
          <w:szCs w:val="24"/>
          <w:u w:val="none"/>
        </w:rPr>
        <w:t>随申办市民云App</w:t>
      </w:r>
      <w:r>
        <w:rPr>
          <w:rFonts w:hint="eastAsia" w:ascii="仿宋" w:hAnsi="仿宋" w:eastAsia="仿宋"/>
          <w:sz w:val="24"/>
          <w:szCs w:val="24"/>
          <w:u w:val="none"/>
          <w:lang w:val="en-US" w:eastAsia="zh-CN"/>
        </w:rPr>
        <w:t>”，“支付宝”，“微信”扫描图中二维码进入缴费页面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</w:t>
      </w:r>
    </w:p>
    <w:p>
      <w:pPr>
        <w:pStyle w:val="2"/>
        <w:bidi w:val="0"/>
      </w:pPr>
      <w:r>
        <w:rPr>
          <w:rFonts w:hint="eastAsia"/>
        </w:rPr>
        <w:t>二、学生缴费操作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（1）学生在“收费批次”中浏览本人待缴费内容后，选择一个批次，如图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9</w:t>
      </w:r>
      <w:r>
        <w:rPr>
          <w:rFonts w:hint="eastAsia" w:ascii="仿宋" w:hAnsi="仿宋" w:eastAsia="仿宋"/>
          <w:sz w:val="24"/>
          <w:szCs w:val="24"/>
        </w:rPr>
        <w:t>；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（2）学生确认缴费金额点击支付后，进入公共支付平台支付界面，如图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10</w:t>
      </w:r>
      <w:r>
        <w:rPr>
          <w:rFonts w:hint="eastAsia" w:ascii="仿宋" w:hAnsi="仿宋" w:eastAsia="仿宋"/>
          <w:sz w:val="24"/>
          <w:szCs w:val="24"/>
        </w:rPr>
        <w:t>；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（3）学生在公共支付平台支付界面上，选择支付宝、微信、银联进行支付。</w:t>
      </w:r>
    </w:p>
    <w:p>
      <w:pPr>
        <w:spacing w:line="360" w:lineRule="auto"/>
        <w:rPr>
          <w:rFonts w:ascii="仿宋" w:hAnsi="仿宋" w:eastAsia="仿宋"/>
          <w:sz w:val="24"/>
          <w:szCs w:val="24"/>
        </w:rPr>
      </w:pPr>
    </w:p>
    <w:p>
      <w:pPr>
        <w:spacing w:line="360" w:lineRule="auto"/>
        <w:rPr>
          <w:rFonts w:ascii="仿宋" w:hAnsi="仿宋" w:eastAsia="仿宋"/>
          <w:sz w:val="24"/>
          <w:szCs w:val="24"/>
        </w:rPr>
      </w:pPr>
      <w:r>
        <w:drawing>
          <wp:inline distT="0" distB="0" distL="114300" distR="114300">
            <wp:extent cx="1846580" cy="4104005"/>
            <wp:effectExtent l="0" t="0" r="12700" b="10795"/>
            <wp:docPr id="26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/>
          <w:sz w:val="24"/>
          <w:szCs w:val="24"/>
        </w:rPr>
        <w:t xml:space="preserve"> </w:t>
      </w:r>
      <w:r>
        <w:rPr>
          <w:rFonts w:ascii="仿宋" w:hAnsi="仿宋" w:eastAsia="仿宋"/>
          <w:sz w:val="24"/>
          <w:szCs w:val="24"/>
        </w:rPr>
        <w:t xml:space="preserve"> </w:t>
      </w:r>
      <w:r>
        <w:drawing>
          <wp:inline distT="0" distB="0" distL="114300" distR="114300">
            <wp:extent cx="1846580" cy="4104005"/>
            <wp:effectExtent l="0" t="0" r="12700" b="10795"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 xml:space="preserve"> </w:t>
      </w:r>
      <w:r>
        <w:rPr>
          <w:rFonts w:ascii="仿宋" w:hAnsi="仿宋" w:eastAsia="仿宋"/>
          <w:sz w:val="24"/>
          <w:szCs w:val="24"/>
        </w:rPr>
        <w:t xml:space="preserve">         </w:t>
      </w:r>
      <w:r>
        <w:rPr>
          <w:rFonts w:hint="eastAsia" w:ascii="仿宋" w:hAnsi="仿宋" w:eastAsia="仿宋"/>
          <w:sz w:val="24"/>
          <w:szCs w:val="24"/>
        </w:rPr>
        <w:t>图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9</w:t>
      </w:r>
      <w:r>
        <w:rPr>
          <w:rFonts w:ascii="仿宋" w:hAnsi="仿宋" w:eastAsia="仿宋"/>
          <w:sz w:val="24"/>
          <w:szCs w:val="24"/>
        </w:rPr>
        <w:t xml:space="preserve">           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  </w:t>
      </w:r>
      <w:r>
        <w:rPr>
          <w:rFonts w:ascii="仿宋" w:hAnsi="仿宋" w:eastAsia="仿宋"/>
          <w:sz w:val="24"/>
          <w:szCs w:val="24"/>
        </w:rPr>
        <w:t xml:space="preserve">          </w:t>
      </w:r>
      <w:r>
        <w:rPr>
          <w:rFonts w:hint="eastAsia" w:ascii="仿宋" w:hAnsi="仿宋" w:eastAsia="仿宋"/>
          <w:sz w:val="24"/>
          <w:szCs w:val="24"/>
        </w:rPr>
        <w:t>图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10</w:t>
      </w:r>
    </w:p>
    <w:p>
      <w:pPr>
        <w:spacing w:line="360" w:lineRule="auto"/>
        <w:rPr>
          <w:rFonts w:ascii="仿宋" w:hAnsi="仿宋" w:eastAsia="仿宋"/>
          <w:b/>
          <w:bCs/>
          <w:sz w:val="24"/>
          <w:szCs w:val="24"/>
        </w:rPr>
      </w:pPr>
    </w:p>
    <w:p>
      <w:pPr>
        <w:pStyle w:val="2"/>
        <w:bidi w:val="0"/>
      </w:pPr>
      <w:r>
        <w:rPr>
          <w:rFonts w:hint="eastAsia"/>
        </w:rPr>
        <w:t>三、学生缴费查询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（1）学生缴费后，可在“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缴费</w:t>
      </w:r>
      <w:r>
        <w:rPr>
          <w:rFonts w:hint="eastAsia" w:ascii="仿宋" w:hAnsi="仿宋" w:eastAsia="仿宋"/>
          <w:sz w:val="24"/>
          <w:szCs w:val="24"/>
        </w:rPr>
        <w:t>记录”中，查询成功支付记录，如图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11</w:t>
      </w:r>
      <w:r>
        <w:rPr>
          <w:rFonts w:hint="eastAsia" w:ascii="仿宋" w:hAnsi="仿宋" w:eastAsia="仿宋"/>
          <w:sz w:val="24"/>
          <w:szCs w:val="24"/>
        </w:rPr>
        <w:t>；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/>
          <w:sz w:val="24"/>
          <w:szCs w:val="24"/>
        </w:rPr>
        <w:t>）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可在“缴费记录”中，查询缴费详情</w:t>
      </w:r>
      <w:r>
        <w:rPr>
          <w:rFonts w:hint="eastAsia" w:ascii="仿宋" w:hAnsi="仿宋" w:eastAsia="仿宋"/>
          <w:sz w:val="24"/>
          <w:szCs w:val="24"/>
        </w:rPr>
        <w:t>，如图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12</w:t>
      </w:r>
      <w:r>
        <w:rPr>
          <w:rFonts w:hint="eastAsia" w:ascii="仿宋" w:hAnsi="仿宋" w:eastAsia="仿宋"/>
          <w:sz w:val="24"/>
          <w:szCs w:val="24"/>
        </w:rPr>
        <w:t>；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</w:rPr>
      </w:pPr>
    </w:p>
    <w:p>
      <w:pPr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 </w:t>
      </w:r>
      <w:r>
        <w:drawing>
          <wp:inline distT="0" distB="0" distL="114300" distR="114300">
            <wp:extent cx="1846580" cy="4104005"/>
            <wp:effectExtent l="0" t="0" r="12700" b="10795"/>
            <wp:docPr id="1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1846580" cy="4104005"/>
            <wp:effectExtent l="0" t="0" r="12700" b="10795"/>
            <wp:docPr id="25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 xml:space="preserve"> </w:t>
      </w:r>
      <w:r>
        <w:rPr>
          <w:rFonts w:ascii="仿宋" w:hAnsi="仿宋" w:eastAsia="仿宋"/>
          <w:sz w:val="24"/>
          <w:szCs w:val="24"/>
        </w:rPr>
        <w:t xml:space="preserve">         </w:t>
      </w:r>
      <w:r>
        <w:rPr>
          <w:rFonts w:hint="eastAsia" w:ascii="仿宋" w:hAnsi="仿宋" w:eastAsia="仿宋"/>
          <w:sz w:val="24"/>
          <w:szCs w:val="24"/>
        </w:rPr>
        <w:t>图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11                       图12</w:t>
      </w:r>
    </w:p>
    <w:p>
      <w:pPr>
        <w:spacing w:line="360" w:lineRule="auto"/>
        <w:rPr>
          <w:rFonts w:ascii="仿宋" w:hAnsi="仿宋" w:eastAsia="仿宋"/>
          <w:sz w:val="24"/>
          <w:szCs w:val="24"/>
        </w:rPr>
      </w:pPr>
    </w:p>
    <w:p>
      <w:pPr>
        <w:pStyle w:val="2"/>
        <w:bidi w:val="0"/>
      </w:pPr>
      <w:r>
        <w:rPr>
          <w:rFonts w:hint="eastAsia"/>
        </w:rPr>
        <w:t>四、学生票据查询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（1）学校填开票据后，学生可在“票据查询”中，查询电子票据记录，如图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13</w:t>
      </w:r>
      <w:r>
        <w:rPr>
          <w:rFonts w:hint="eastAsia" w:ascii="仿宋" w:hAnsi="仿宋" w:eastAsia="仿宋"/>
          <w:sz w:val="24"/>
          <w:szCs w:val="24"/>
        </w:rPr>
        <w:t>；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（2）学生点击“票据预览”，在在线查看票据信息，如图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14</w:t>
      </w:r>
      <w:r>
        <w:rPr>
          <w:rFonts w:hint="eastAsia" w:ascii="仿宋" w:hAnsi="仿宋" w:eastAsia="仿宋"/>
          <w:sz w:val="24"/>
          <w:szCs w:val="24"/>
        </w:rPr>
        <w:t>；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（3）学生点击“发送邮箱”，可自行输入邮箱地址后，获取电子票据邮件，如图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15</w:t>
      </w:r>
      <w:r>
        <w:rPr>
          <w:rFonts w:hint="eastAsia" w:ascii="仿宋" w:hAnsi="仿宋" w:eastAsia="仿宋"/>
          <w:sz w:val="24"/>
          <w:szCs w:val="24"/>
        </w:rPr>
        <w:t>；</w:t>
      </w:r>
    </w:p>
    <w:p>
      <w:pPr>
        <w:spacing w:line="360" w:lineRule="auto"/>
        <w:rPr>
          <w:rFonts w:ascii="仿宋" w:hAnsi="仿宋" w:eastAsia="仿宋"/>
          <w:sz w:val="24"/>
          <w:szCs w:val="24"/>
        </w:rPr>
      </w:pPr>
      <w:r>
        <w:drawing>
          <wp:inline distT="0" distB="0" distL="114300" distR="114300">
            <wp:extent cx="1846580" cy="4104005"/>
            <wp:effectExtent l="0" t="0" r="12700" b="10795"/>
            <wp:docPr id="2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  </w:t>
      </w:r>
      <w:r>
        <w:drawing>
          <wp:inline distT="0" distB="0" distL="114300" distR="114300">
            <wp:extent cx="1846580" cy="4104005"/>
            <wp:effectExtent l="0" t="0" r="12700" b="10795"/>
            <wp:docPr id="1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hAnsi="仿宋" w:eastAsia="仿宋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  </w:t>
      </w:r>
      <w:r>
        <w:drawing>
          <wp:inline distT="0" distB="0" distL="114300" distR="114300">
            <wp:extent cx="1846580" cy="4104005"/>
            <wp:effectExtent l="0" t="0" r="12700" b="10795"/>
            <wp:docPr id="28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 xml:space="preserve"> </w:t>
      </w:r>
      <w:r>
        <w:rPr>
          <w:rFonts w:ascii="仿宋" w:hAnsi="仿宋" w:eastAsia="仿宋"/>
          <w:sz w:val="24"/>
          <w:szCs w:val="24"/>
        </w:rPr>
        <w:t xml:space="preserve">          </w:t>
      </w:r>
      <w:r>
        <w:rPr>
          <w:rFonts w:hint="eastAsia" w:ascii="仿宋" w:hAnsi="仿宋" w:eastAsia="仿宋"/>
          <w:sz w:val="24"/>
          <w:szCs w:val="24"/>
        </w:rPr>
        <w:t>图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13</w:t>
      </w:r>
      <w:r>
        <w:rPr>
          <w:rFonts w:ascii="仿宋" w:hAnsi="仿宋" w:eastAsia="仿宋"/>
          <w:sz w:val="24"/>
          <w:szCs w:val="24"/>
        </w:rPr>
        <w:t xml:space="preserve">                      </w:t>
      </w:r>
      <w:r>
        <w:rPr>
          <w:rFonts w:hint="eastAsia" w:ascii="仿宋" w:hAnsi="仿宋" w:eastAsia="仿宋"/>
          <w:sz w:val="24"/>
          <w:szCs w:val="24"/>
        </w:rPr>
        <w:t>图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14</w:t>
      </w:r>
      <w:r>
        <w:rPr>
          <w:rFonts w:ascii="仿宋" w:hAnsi="仿宋" w:eastAsia="仿宋"/>
          <w:sz w:val="24"/>
          <w:szCs w:val="24"/>
        </w:rPr>
        <w:t xml:space="preserve">               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    </w:t>
      </w:r>
      <w:r>
        <w:rPr>
          <w:rFonts w:ascii="仿宋" w:hAnsi="仿宋" w:eastAsia="仿宋"/>
          <w:sz w:val="24"/>
          <w:szCs w:val="24"/>
        </w:rPr>
        <w:t xml:space="preserve">    </w:t>
      </w:r>
      <w:r>
        <w:rPr>
          <w:rFonts w:hint="eastAsia" w:ascii="仿宋" w:hAnsi="仿宋" w:eastAsia="仿宋"/>
          <w:sz w:val="24"/>
          <w:szCs w:val="24"/>
        </w:rPr>
        <w:t>图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15</w:t>
      </w:r>
    </w:p>
    <w:p>
      <w:pPr>
        <w:spacing w:line="360" w:lineRule="auto"/>
        <w:rPr>
          <w:rFonts w:ascii="仿宋" w:hAnsi="仿宋" w:eastAsia="仿宋"/>
          <w:b/>
          <w:bCs/>
          <w:sz w:val="24"/>
          <w:szCs w:val="24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851033"/>
    <w:multiLevelType w:val="multilevel"/>
    <w:tmpl w:val="3385103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rPr>
        <w:rFonts w:hint="eastAsia"/>
      </w:rPr>
    </w:lvl>
    <w:lvl w:ilvl="3" w:tentative="0">
      <w:start w:val="1"/>
      <w:numFmt w:val="decimalEnclosedCircleChinese"/>
      <w:suff w:val="nothing"/>
      <w:lvlText w:val="%4"/>
      <w:lvlJc w:val="left"/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rPr>
        <w:rFonts w:hint="eastAsia"/>
      </w:rPr>
    </w:lvl>
    <w:lvl w:ilvl="7" w:tentative="0">
      <w:start w:val="1"/>
      <w:numFmt w:val="lowerRoman"/>
      <w:suff w:val="nothing"/>
      <w:lvlText w:val="%8．"/>
      <w:lvlJc w:val="left"/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cwNWY0ZGFmNThkNTEzNjZlYTdmNzdjY2QwMjA1NDAifQ=="/>
  </w:docVars>
  <w:rsids>
    <w:rsidRoot w:val="00DD3F34"/>
    <w:rsid w:val="00031A52"/>
    <w:rsid w:val="00036AC3"/>
    <w:rsid w:val="00044AEA"/>
    <w:rsid w:val="0006046D"/>
    <w:rsid w:val="000B1979"/>
    <w:rsid w:val="000C760C"/>
    <w:rsid w:val="00167D24"/>
    <w:rsid w:val="00170702"/>
    <w:rsid w:val="00171FB3"/>
    <w:rsid w:val="001A01C4"/>
    <w:rsid w:val="001A7FA9"/>
    <w:rsid w:val="00200044"/>
    <w:rsid w:val="00215EE5"/>
    <w:rsid w:val="00234514"/>
    <w:rsid w:val="00243BFE"/>
    <w:rsid w:val="002C37E4"/>
    <w:rsid w:val="003E03F4"/>
    <w:rsid w:val="00402A36"/>
    <w:rsid w:val="00412089"/>
    <w:rsid w:val="00480CF1"/>
    <w:rsid w:val="00484BE0"/>
    <w:rsid w:val="004C05A6"/>
    <w:rsid w:val="004D38F9"/>
    <w:rsid w:val="00551B8D"/>
    <w:rsid w:val="00594305"/>
    <w:rsid w:val="006375CA"/>
    <w:rsid w:val="00654954"/>
    <w:rsid w:val="006B0615"/>
    <w:rsid w:val="006B4CCF"/>
    <w:rsid w:val="006B5F86"/>
    <w:rsid w:val="007729AC"/>
    <w:rsid w:val="007B3B4C"/>
    <w:rsid w:val="007C2227"/>
    <w:rsid w:val="007E2744"/>
    <w:rsid w:val="007F6DC6"/>
    <w:rsid w:val="00813138"/>
    <w:rsid w:val="008341D9"/>
    <w:rsid w:val="00867317"/>
    <w:rsid w:val="008B59B8"/>
    <w:rsid w:val="00910694"/>
    <w:rsid w:val="0091511E"/>
    <w:rsid w:val="00940C32"/>
    <w:rsid w:val="009431DE"/>
    <w:rsid w:val="009578C6"/>
    <w:rsid w:val="009969D4"/>
    <w:rsid w:val="00A27930"/>
    <w:rsid w:val="00A36A78"/>
    <w:rsid w:val="00AD222D"/>
    <w:rsid w:val="00B35EC3"/>
    <w:rsid w:val="00B6393E"/>
    <w:rsid w:val="00B9747B"/>
    <w:rsid w:val="00C139BA"/>
    <w:rsid w:val="00C3113D"/>
    <w:rsid w:val="00C53503"/>
    <w:rsid w:val="00C54CB8"/>
    <w:rsid w:val="00C6277D"/>
    <w:rsid w:val="00C659D9"/>
    <w:rsid w:val="00CE2E56"/>
    <w:rsid w:val="00D45389"/>
    <w:rsid w:val="00D84260"/>
    <w:rsid w:val="00DA5711"/>
    <w:rsid w:val="00DD3F34"/>
    <w:rsid w:val="00DE788E"/>
    <w:rsid w:val="00DF64F1"/>
    <w:rsid w:val="00E424A1"/>
    <w:rsid w:val="00E46C5D"/>
    <w:rsid w:val="00E650AE"/>
    <w:rsid w:val="00E7498C"/>
    <w:rsid w:val="00F21B97"/>
    <w:rsid w:val="00F5076E"/>
    <w:rsid w:val="00F61DAF"/>
    <w:rsid w:val="00F95480"/>
    <w:rsid w:val="00FF2E8A"/>
    <w:rsid w:val="07713581"/>
    <w:rsid w:val="093020B3"/>
    <w:rsid w:val="16473933"/>
    <w:rsid w:val="16FA56E1"/>
    <w:rsid w:val="172038A7"/>
    <w:rsid w:val="571E62B6"/>
    <w:rsid w:val="7B25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Theme="minorAscii" w:hAnsiTheme="minorAscii"/>
      <w:b/>
      <w:sz w:val="30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624</Words>
  <Characters>640</Characters>
  <Lines>5</Lines>
  <Paragraphs>1</Paragraphs>
  <TotalTime>5</TotalTime>
  <ScaleCrop>false</ScaleCrop>
  <LinksUpToDate>false</LinksUpToDate>
  <CharactersWithSpaces>931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2021-12-22T05:04:00Z</dcterms:created>
  <dc:creator>沈 伟刚</dc:creator>
  <cp:lastModifiedBy>顾骏炜</cp:lastModifiedBy>
  <dcterms:modified xsi:type="dcterms:W3CDTF">2024-03-13T07:12:31Z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C7041B3BAAB74903BA3A4D7ED07A8702_13</vt:lpwstr>
  </property>
</Properties>
</file>