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83EB5">
      <w:pPr>
        <w:jc w:val="center"/>
      </w:pPr>
    </w:p>
    <w:p w14:paraId="4ABB3B2F">
      <w:pPr>
        <w:jc w:val="center"/>
        <w:rPr>
          <w:rFonts w:hint="eastAsia" w:eastAsia="宋体"/>
          <w:lang w:eastAsia="zh-CN"/>
        </w:rPr>
      </w:pPr>
      <w:bookmarkStart w:id="0" w:name="_GoBack"/>
      <w:bookmarkEnd w:id="0"/>
    </w:p>
    <w:p w14:paraId="712670CC">
      <w:pPr>
        <w:ind w:left="0" w:leftChars="0" w:firstLine="0" w:firstLineChars="0"/>
      </w:pPr>
    </w:p>
    <w:p w14:paraId="2531FA86">
      <w:pPr>
        <w:jc w:val="center"/>
        <w:rPr>
          <w:rFonts w:hint="eastAsia" w:ascii="宋体" w:hAnsi="宋体" w:eastAsia="宋体" w:cs="宋体"/>
          <w:b/>
          <w:bCs/>
          <w:color w:val="000000"/>
          <w:spacing w:val="2"/>
          <w:sz w:val="44"/>
          <w:szCs w:val="44"/>
          <w:lang w:val="en-US" w:eastAsia="en-US" w:bidi="ar-SA"/>
        </w:rPr>
      </w:pPr>
      <w:r>
        <w:rPr>
          <w:rFonts w:hint="eastAsia" w:ascii="宋体" w:hAnsi="宋体" w:eastAsia="宋体" w:cs="宋体"/>
          <w:b/>
          <w:bCs/>
          <w:color w:val="000000"/>
          <w:spacing w:val="2"/>
          <w:sz w:val="44"/>
          <w:szCs w:val="44"/>
          <w:lang w:val="en-US" w:eastAsia="en-US" w:bidi="ar-SA"/>
        </w:rPr>
        <w:t>《公文写作与处理》</w:t>
      </w:r>
    </w:p>
    <w:p w14:paraId="6C793721">
      <w:pPr>
        <w:jc w:val="center"/>
        <w:rPr>
          <w:rFonts w:hint="eastAsia" w:ascii="宋体" w:hAnsi="宋体" w:eastAsia="宋体" w:cs="宋体"/>
          <w:b/>
          <w:bCs/>
          <w:color w:val="000000"/>
          <w:sz w:val="44"/>
          <w:szCs w:val="44"/>
          <w:lang w:val="en-US" w:eastAsia="en-US" w:bidi="ar-SA"/>
        </w:rPr>
      </w:pPr>
      <w:r>
        <w:rPr>
          <w:rFonts w:hint="eastAsia" w:ascii="宋体" w:hAnsi="宋体" w:eastAsia="宋体" w:cs="宋体"/>
          <w:b/>
          <w:bCs/>
          <w:color w:val="000000"/>
          <w:sz w:val="44"/>
          <w:szCs w:val="44"/>
          <w:lang w:val="en-US" w:eastAsia="en-US" w:bidi="ar-SA"/>
        </w:rPr>
        <w:t>课程实践环节考核指导书</w:t>
      </w:r>
    </w:p>
    <w:p w14:paraId="24BB3BAA">
      <w:pPr>
        <w:rPr>
          <w:rFonts w:ascii="黑体" w:hAnsi="黑体" w:cs="黑体"/>
          <w:color w:val="000000"/>
          <w:sz w:val="48"/>
          <w:szCs w:val="22"/>
          <w:lang w:val="en-US" w:eastAsia="en-US" w:bidi="ar-SA"/>
        </w:rPr>
      </w:pPr>
    </w:p>
    <w:p w14:paraId="2AC9CBD6">
      <w:pPr>
        <w:rPr>
          <w:rFonts w:ascii="黑体" w:hAnsi="黑体" w:cs="黑体"/>
          <w:color w:val="000000"/>
          <w:sz w:val="48"/>
          <w:szCs w:val="22"/>
          <w:lang w:val="en-US" w:eastAsia="en-US" w:bidi="ar-SA"/>
        </w:rPr>
      </w:pPr>
    </w:p>
    <w:p w14:paraId="6AEDC4B9">
      <w:pPr>
        <w:jc w:val="center"/>
        <w:rPr>
          <w:rFonts w:hint="eastAsia" w:ascii="仿宋" w:hAnsi="仿宋" w:eastAsia="仿宋" w:cs="仿宋"/>
          <w:sz w:val="32"/>
          <w:szCs w:val="32"/>
        </w:rPr>
      </w:pPr>
      <w:r>
        <w:rPr>
          <w:rFonts w:hint="eastAsia" w:ascii="宋体" w:hAnsi="宋体" w:eastAsia="宋体" w:cs="宋体"/>
          <w:lang w:val="en-US" w:eastAsia="zh-CN"/>
        </w:rPr>
        <w:t xml:space="preserve">  </w:t>
      </w:r>
      <w:r>
        <w:rPr>
          <w:rFonts w:hint="eastAsia" w:ascii="仿宋" w:hAnsi="仿宋" w:eastAsia="仿宋" w:cs="仿宋"/>
          <w:sz w:val="32"/>
          <w:szCs w:val="32"/>
        </w:rPr>
        <w:t>适用专业：行政管理（专科）</w:t>
      </w:r>
    </w:p>
    <w:p w14:paraId="365F1F98">
      <w:pPr>
        <w:ind w:firstLine="3200" w:firstLineChars="1000"/>
        <w:jc w:val="both"/>
        <w:rPr>
          <w:rFonts w:hint="eastAsia" w:ascii="仿宋" w:hAnsi="仿宋" w:eastAsia="仿宋" w:cs="仿宋"/>
          <w:sz w:val="32"/>
          <w:szCs w:val="32"/>
        </w:rPr>
      </w:pPr>
      <w:r>
        <w:rPr>
          <w:rFonts w:hint="eastAsia" w:ascii="仿宋" w:hAnsi="仿宋" w:eastAsia="仿宋" w:cs="仿宋"/>
          <w:sz w:val="32"/>
          <w:szCs w:val="32"/>
        </w:rPr>
        <w:t>课程代码：00341</w:t>
      </w:r>
    </w:p>
    <w:p w14:paraId="46CBA644">
      <w:pPr>
        <w:jc w:val="center"/>
        <w:rPr>
          <w:rFonts w:hint="eastAsia" w:ascii="仿宋" w:hAnsi="仿宋" w:eastAsia="仿宋" w:cs="仿宋"/>
          <w:sz w:val="32"/>
          <w:szCs w:val="32"/>
        </w:rPr>
      </w:pPr>
      <w:r>
        <w:rPr>
          <w:rFonts w:hint="eastAsia" w:ascii="仿宋" w:hAnsi="仿宋" w:eastAsia="仿宋" w:cs="仿宋"/>
          <w:sz w:val="32"/>
          <w:szCs w:val="32"/>
        </w:rPr>
        <w:t>课程名称：公文写作与处理</w:t>
      </w:r>
    </w:p>
    <w:p w14:paraId="5CFA29D1">
      <w:pPr>
        <w:ind w:firstLine="3200" w:firstLineChars="1000"/>
        <w:jc w:val="both"/>
        <w:rPr>
          <w:rFonts w:hint="eastAsia" w:ascii="仿宋" w:hAnsi="仿宋" w:eastAsia="仿宋" w:cs="仿宋"/>
          <w:sz w:val="32"/>
          <w:szCs w:val="32"/>
          <w:lang w:val="en-US" w:eastAsia="zh-CN"/>
        </w:rPr>
      </w:pPr>
      <w:r>
        <w:rPr>
          <w:rFonts w:hint="eastAsia" w:ascii="仿宋" w:hAnsi="仿宋" w:eastAsia="仿宋" w:cs="仿宋"/>
          <w:sz w:val="32"/>
          <w:szCs w:val="32"/>
        </w:rPr>
        <w:t>考核方式：</w:t>
      </w:r>
      <w:r>
        <w:rPr>
          <w:rFonts w:hint="eastAsia" w:ascii="仿宋" w:hAnsi="仿宋" w:eastAsia="仿宋" w:cs="仿宋"/>
          <w:sz w:val="32"/>
          <w:szCs w:val="32"/>
          <w:lang w:eastAsia="zh-CN"/>
        </w:rPr>
        <w:t>现场考核</w:t>
      </w:r>
    </w:p>
    <w:p w14:paraId="4F0549DB">
      <w:pPr>
        <w:ind w:firstLine="2560" w:firstLineChars="800"/>
        <w:jc w:val="both"/>
        <w:rPr>
          <w:rFonts w:hint="eastAsia" w:ascii="仿宋" w:hAnsi="仿宋" w:eastAsia="仿宋" w:cs="仿宋"/>
          <w:color w:val="000000"/>
          <w:sz w:val="32"/>
          <w:szCs w:val="32"/>
          <w:lang w:val="en-US" w:eastAsia="en-US" w:bidi="ar-SA"/>
        </w:rPr>
      </w:pPr>
    </w:p>
    <w:p w14:paraId="70475FED">
      <w:pPr>
        <w:ind w:firstLine="2400" w:firstLineChars="800"/>
        <w:jc w:val="both"/>
        <w:rPr>
          <w:rFonts w:ascii="宋体" w:hAnsi="宋体" w:cs="宋体"/>
          <w:color w:val="000000"/>
          <w:sz w:val="30"/>
          <w:szCs w:val="22"/>
          <w:lang w:val="en-US" w:eastAsia="en-US" w:bidi="ar-SA"/>
        </w:rPr>
      </w:pPr>
    </w:p>
    <w:p w14:paraId="7E878D04">
      <w:pPr>
        <w:ind w:firstLine="2400" w:firstLineChars="800"/>
        <w:jc w:val="both"/>
        <w:rPr>
          <w:rFonts w:ascii="宋体" w:hAnsi="宋体" w:cs="宋体"/>
          <w:color w:val="000000"/>
          <w:sz w:val="30"/>
          <w:szCs w:val="22"/>
          <w:lang w:val="en-US" w:eastAsia="en-US" w:bidi="ar-SA"/>
        </w:rPr>
      </w:pPr>
    </w:p>
    <w:p w14:paraId="278D43F6">
      <w:pPr>
        <w:ind w:firstLine="2400" w:firstLineChars="800"/>
        <w:jc w:val="both"/>
        <w:rPr>
          <w:rFonts w:ascii="宋体" w:hAnsi="宋体" w:cs="宋体"/>
          <w:color w:val="000000"/>
          <w:sz w:val="30"/>
          <w:szCs w:val="22"/>
          <w:lang w:val="en-US" w:eastAsia="en-US" w:bidi="ar-SA"/>
        </w:rPr>
      </w:pPr>
    </w:p>
    <w:p w14:paraId="4E62C6DA">
      <w:pPr>
        <w:ind w:firstLine="2400" w:firstLineChars="800"/>
        <w:jc w:val="both"/>
        <w:rPr>
          <w:rFonts w:ascii="宋体" w:hAnsi="宋体" w:cs="宋体"/>
          <w:color w:val="000000"/>
          <w:sz w:val="30"/>
          <w:szCs w:val="22"/>
          <w:lang w:val="en-US" w:eastAsia="en-US" w:bidi="ar-SA"/>
        </w:rPr>
      </w:pPr>
    </w:p>
    <w:p w14:paraId="48974195">
      <w:pPr>
        <w:ind w:firstLine="2400" w:firstLineChars="800"/>
        <w:jc w:val="both"/>
        <w:rPr>
          <w:rFonts w:ascii="宋体" w:hAnsi="宋体" w:cs="宋体"/>
          <w:color w:val="000000"/>
          <w:sz w:val="30"/>
          <w:szCs w:val="22"/>
          <w:lang w:val="en-US" w:eastAsia="en-US" w:bidi="ar-SA"/>
        </w:rPr>
      </w:pPr>
    </w:p>
    <w:p w14:paraId="64C1CF56">
      <w:pPr>
        <w:jc w:val="center"/>
        <w:rPr>
          <w:rFonts w:hint="eastAsia" w:ascii="宋体" w:hAnsi="宋体" w:eastAsia="宋体" w:cs="宋体"/>
          <w:b/>
          <w:bCs/>
          <w:color w:val="000000"/>
          <w:spacing w:val="2"/>
          <w:sz w:val="44"/>
          <w:szCs w:val="44"/>
          <w:lang w:val="en-US" w:eastAsia="zh-CN" w:bidi="ar-SA"/>
        </w:rPr>
      </w:pPr>
    </w:p>
    <w:p w14:paraId="0458E3D1">
      <w:pPr>
        <w:jc w:val="center"/>
        <w:rPr>
          <w:rFonts w:hint="eastAsia" w:ascii="宋体" w:hAnsi="宋体" w:eastAsia="宋体" w:cs="宋体"/>
          <w:b/>
          <w:bCs/>
          <w:color w:val="000000"/>
          <w:spacing w:val="2"/>
          <w:sz w:val="44"/>
          <w:szCs w:val="44"/>
          <w:lang w:val="en-US" w:eastAsia="zh-CN" w:bidi="ar-SA"/>
        </w:rPr>
      </w:pPr>
    </w:p>
    <w:p w14:paraId="09D5861E">
      <w:pPr>
        <w:jc w:val="center"/>
        <w:rPr>
          <w:rFonts w:hint="eastAsia" w:ascii="宋体" w:hAnsi="宋体" w:eastAsia="宋体" w:cs="宋体"/>
          <w:b/>
          <w:bCs/>
          <w:color w:val="000000"/>
          <w:spacing w:val="2"/>
          <w:sz w:val="44"/>
          <w:szCs w:val="44"/>
          <w:lang w:val="en-US" w:eastAsia="en-US" w:bidi="ar-SA"/>
        </w:rPr>
      </w:pPr>
      <w:r>
        <w:rPr>
          <w:rFonts w:hint="eastAsia" w:ascii="宋体" w:hAnsi="宋体" w:eastAsia="宋体" w:cs="宋体"/>
          <w:b/>
          <w:bCs/>
          <w:color w:val="000000"/>
          <w:spacing w:val="2"/>
          <w:sz w:val="44"/>
          <w:szCs w:val="44"/>
          <w:lang w:val="en-US" w:eastAsia="en-US" w:bidi="ar-SA"/>
        </w:rPr>
        <w:t>前 言</w:t>
      </w:r>
    </w:p>
    <w:p w14:paraId="2E3DCC66">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仿宋" w:hAnsi="仿宋" w:eastAsia="仿宋" w:cs="仿宋"/>
          <w:color w:val="000000"/>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公文写作与处理》课程是高等教育自学考试行政管理专业（专科）开设的一门专业必修课程。本课程的应用性很强，学习与掌握公文写作与处理的基本理论与基本知识在于指导机关公文写作与处理的实践。课程实践环节的考核中既体现学生对基本知识、基本理论的掌握程度，又强调理论联系实际，考核学生将所学知识转化为较强的动手能力，即运用所学知识较好地完成机关的公文写作、公</w:t>
      </w:r>
      <w:r>
        <w:rPr>
          <w:rFonts w:hint="eastAsia" w:ascii="仿宋" w:hAnsi="仿宋" w:eastAsia="仿宋" w:cs="仿宋"/>
          <w:color w:val="000000"/>
          <w:kern w:val="0"/>
          <w:sz w:val="32"/>
          <w:szCs w:val="32"/>
          <w:lang w:val="en-US" w:eastAsia="en-US" w:bidi="ar-SA"/>
        </w:rPr>
        <w:t>文处理与整理（立卷）归档等实际工作能力。</w:t>
      </w:r>
      <w:r>
        <w:rPr>
          <w:rFonts w:hint="eastAsia" w:ascii="仿宋" w:hAnsi="仿宋" w:eastAsia="仿宋" w:cs="仿宋"/>
          <w:color w:val="000000"/>
          <w:spacing w:val="-3"/>
          <w:kern w:val="0"/>
          <w:sz w:val="32"/>
          <w:szCs w:val="32"/>
          <w:lang w:val="en-US" w:eastAsia="en-US" w:bidi="ar-SA"/>
        </w:rPr>
        <w:t>为配合学生顺利完成该门课程的实践环节考核，特制定此实践环节考核指导书。请学生充分了解指导书中关于实践环节考核的方式、成绩评定标准、指定教材、课程内容及考核要求等；按照指导书的要求，学</w:t>
      </w:r>
      <w:r>
        <w:rPr>
          <w:rFonts w:hint="eastAsia" w:ascii="仿宋" w:hAnsi="仿宋" w:eastAsia="仿宋" w:cs="仿宋"/>
          <w:color w:val="000000"/>
          <w:spacing w:val="-6"/>
          <w:kern w:val="0"/>
          <w:sz w:val="32"/>
          <w:szCs w:val="32"/>
          <w:lang w:val="en-US" w:eastAsia="en-US" w:bidi="ar-SA"/>
        </w:rPr>
        <w:t>习相关知识并做好相应准备，</w:t>
      </w:r>
      <w:r>
        <w:rPr>
          <w:rFonts w:hint="eastAsia" w:ascii="仿宋" w:hAnsi="仿宋" w:eastAsia="仿宋" w:cs="仿宋"/>
          <w:color w:val="000000"/>
          <w:kern w:val="0"/>
          <w:sz w:val="32"/>
          <w:szCs w:val="32"/>
          <w:lang w:val="en-US" w:eastAsia="en-US" w:bidi="ar-SA"/>
        </w:rPr>
        <w:t>按时、并高质量完成该门课程的实践环节考核任务。</w:t>
      </w:r>
    </w:p>
    <w:p w14:paraId="5A53992F">
      <w:pPr>
        <w:pStyle w:val="3"/>
        <w:keepNext w:val="0"/>
        <w:keepLines w:val="0"/>
        <w:pageBreakBefore w:val="0"/>
        <w:widowControl w:val="0"/>
        <w:numPr>
          <w:ilvl w:val="0"/>
          <w:numId w:val="1"/>
        </w:numPr>
        <w:kinsoku/>
        <w:wordWrap/>
        <w:overflowPunct/>
        <w:topLinePunct w:val="0"/>
        <w:bidi w:val="0"/>
        <w:adjustRightInd/>
        <w:snapToGrid/>
        <w:ind w:left="320" w:leftChars="0" w:firstLine="0" w:firstLineChars="0"/>
        <w:textAlignment w:val="auto"/>
        <w:rPr>
          <w:rFonts w:hint="eastAsia" w:ascii="仿宋" w:hAnsi="仿宋" w:eastAsia="仿宋" w:cs="仿宋"/>
          <w:b/>
          <w:bCs/>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目的</w:t>
      </w:r>
    </w:p>
    <w:p w14:paraId="534458C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1.系统掌握《公文写作与处理》的知识体系。</w:t>
      </w:r>
    </w:p>
    <w:p w14:paraId="65C6079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2.巩固和掌握现代应用写作的基础理论、基本概念与基本写法，通过简单案例，结合实际，熟练地完成应用文稿的规范化处理工作，切实提高学生的写作能力、调研能力、表达能力、分析能力和反映能力。</w:t>
      </w:r>
    </w:p>
    <w:p w14:paraId="0AF74FA4">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3.通过综合实训，把专业知识转化为职业技能。在加强基础素质培养的同时，切实提高职业专项技能与素质。</w:t>
      </w:r>
    </w:p>
    <w:p w14:paraId="6421705D">
      <w:pPr>
        <w:pStyle w:val="3"/>
        <w:keepNext w:val="0"/>
        <w:keepLines w:val="0"/>
        <w:pageBreakBefore w:val="0"/>
        <w:widowControl w:val="0"/>
        <w:numPr>
          <w:ilvl w:val="0"/>
          <w:numId w:val="1"/>
        </w:numPr>
        <w:kinsoku/>
        <w:wordWrap/>
        <w:overflowPunct/>
        <w:topLinePunct w:val="0"/>
        <w:bidi w:val="0"/>
        <w:adjustRightInd/>
        <w:snapToGrid/>
        <w:ind w:left="320" w:leftChars="0" w:firstLine="0" w:firstLineChars="0"/>
        <w:textAlignment w:val="auto"/>
        <w:rPr>
          <w:rFonts w:hint="eastAsia" w:ascii="仿宋" w:hAnsi="仿宋" w:eastAsia="仿宋" w:cs="仿宋"/>
          <w:b/>
          <w:bCs/>
          <w:color w:val="000000" w:themeColor="text1"/>
          <w:kern w:val="2"/>
          <w:sz w:val="32"/>
          <w:szCs w:val="32"/>
          <w:lang w:val="en-US" w:eastAsia="en-US"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内容及要求</w:t>
      </w:r>
    </w:p>
    <w:p w14:paraId="4EEDFFD9">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default" w:ascii="仿宋" w:hAnsi="仿宋" w:eastAsia="仿宋" w:cs="仿宋"/>
          <w:b w:val="0"/>
          <w:bCs w:val="0"/>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（一）公文理论题：学生根据所学公文理论知识，完成相关题目，</w:t>
      </w:r>
      <w:r>
        <w:rPr>
          <w:rFonts w:hint="eastAsia" w:ascii="仿宋" w:hAnsi="仿宋" w:eastAsia="仿宋" w:cs="仿宋"/>
          <w:b w:val="0"/>
          <w:bCs w:val="0"/>
          <w:color w:val="000000"/>
          <w:spacing w:val="-3"/>
          <w:kern w:val="0"/>
          <w:sz w:val="32"/>
          <w:szCs w:val="32"/>
          <w:lang w:val="en-US" w:eastAsia="zh-CN" w:bidi="ar-SA"/>
        </w:rPr>
        <w:t>题目类型包括单选题、简答题和论述题，题目内容覆盖教材全章节。</w:t>
      </w:r>
    </w:p>
    <w:p w14:paraId="53D3928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（二）公文写作题：根据提供案例，选取1-3种案例类型进行考核，学生根据有关要求，选定文种种类，使用规范格式，符合文稿内容要求</w:t>
      </w:r>
      <w:r>
        <w:rPr>
          <w:rFonts w:hint="eastAsia" w:ascii="仿宋" w:hAnsi="仿宋" w:eastAsia="仿宋" w:cs="仿宋"/>
          <w:color w:val="000000"/>
          <w:spacing w:val="-3"/>
          <w:kern w:val="0"/>
          <w:sz w:val="32"/>
          <w:szCs w:val="32"/>
          <w:lang w:val="en-US" w:eastAsia="zh-CN" w:bidi="ar-SA"/>
        </w:rPr>
        <w:t>。拟考核写的文种包括：</w:t>
      </w:r>
    </w:p>
    <w:p w14:paraId="6689D7E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１.公文写作技巧训练：报告、请示、批复、通知、函、会议纪要。</w:t>
      </w:r>
    </w:p>
    <w:p w14:paraId="1794977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２.事务文书写作技巧训练：简报、求职信等。</w:t>
      </w:r>
    </w:p>
    <w:p w14:paraId="61FB1589">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３.演讲文书写作技巧与训练：欢迎词、讲话稿等。</w:t>
      </w:r>
    </w:p>
    <w:p w14:paraId="3EDF6A76">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４.计划总结文书写作技巧与训练：计划、总结等。</w:t>
      </w:r>
    </w:p>
    <w:p w14:paraId="0474DAD3">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themeColor="text1"/>
          <w:kern w:val="2"/>
          <w:sz w:val="32"/>
          <w:szCs w:val="32"/>
          <w:lang w:val="en-US" w:eastAsia="en-US" w:bidi="ar-SA"/>
          <w14:textFill>
            <w14:solidFill>
              <w14:schemeClr w14:val="tx1"/>
            </w14:solidFill>
          </w14:textFill>
        </w:rPr>
      </w:pPr>
      <w:r>
        <w:rPr>
          <w:rFonts w:hint="eastAsia" w:ascii="仿宋" w:hAnsi="仿宋" w:eastAsia="仿宋" w:cs="仿宋"/>
          <w:color w:val="000000"/>
          <w:spacing w:val="-3"/>
          <w:kern w:val="0"/>
          <w:sz w:val="32"/>
          <w:szCs w:val="32"/>
          <w:lang w:val="en-US" w:eastAsia="zh-CN" w:bidi="ar-SA"/>
        </w:rPr>
        <w:t>５.新闻、论文等写作技巧与训练。</w:t>
      </w:r>
    </w:p>
    <w:p w14:paraId="2A552A0D">
      <w:pPr>
        <w:pStyle w:val="3"/>
        <w:keepNext w:val="0"/>
        <w:keepLines w:val="0"/>
        <w:pageBreakBefore w:val="0"/>
        <w:widowControl w:val="0"/>
        <w:numPr>
          <w:ilvl w:val="0"/>
          <w:numId w:val="1"/>
        </w:numPr>
        <w:kinsoku/>
        <w:wordWrap/>
        <w:overflowPunct/>
        <w:topLinePunct w:val="0"/>
        <w:bidi w:val="0"/>
        <w:adjustRightInd/>
        <w:snapToGrid/>
        <w:ind w:left="320" w:leftChars="0" w:firstLine="0" w:firstLineChars="0"/>
        <w:textAlignment w:val="auto"/>
        <w:rPr>
          <w:rFonts w:hint="eastAsia" w:ascii="仿宋" w:hAnsi="仿宋" w:eastAsia="仿宋" w:cs="仿宋"/>
          <w:b/>
          <w:bCs/>
          <w:color w:val="000000" w:themeColor="text1"/>
          <w:kern w:val="2"/>
          <w:sz w:val="32"/>
          <w:szCs w:val="32"/>
          <w:lang w:val="en-US" w:eastAsia="en-US"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评分标准</w:t>
      </w:r>
    </w:p>
    <w:p w14:paraId="694B99B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（一）</w:t>
      </w:r>
      <w:r>
        <w:rPr>
          <w:rFonts w:hint="eastAsia" w:ascii="仿宋" w:hAnsi="仿宋" w:eastAsia="仿宋" w:cs="仿宋"/>
          <w:color w:val="000000"/>
          <w:spacing w:val="-3"/>
          <w:kern w:val="0"/>
          <w:sz w:val="32"/>
          <w:szCs w:val="32"/>
          <w:lang w:val="en-US" w:eastAsia="en-US" w:bidi="ar-SA"/>
        </w:rPr>
        <w:t>总体要求</w:t>
      </w:r>
    </w:p>
    <w:p w14:paraId="780D572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1</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所有</w:t>
      </w:r>
      <w:r>
        <w:rPr>
          <w:rFonts w:hint="eastAsia" w:ascii="仿宋" w:hAnsi="仿宋" w:eastAsia="仿宋" w:cs="仿宋"/>
          <w:color w:val="000000"/>
          <w:spacing w:val="-3"/>
          <w:kern w:val="0"/>
          <w:sz w:val="32"/>
          <w:szCs w:val="32"/>
          <w:lang w:val="en-US" w:eastAsia="zh-CN" w:bidi="ar-SA"/>
        </w:rPr>
        <w:t>内容</w:t>
      </w:r>
      <w:r>
        <w:rPr>
          <w:rFonts w:hint="eastAsia" w:ascii="仿宋" w:hAnsi="仿宋" w:eastAsia="仿宋" w:cs="仿宋"/>
          <w:color w:val="000000"/>
          <w:spacing w:val="-3"/>
          <w:kern w:val="0"/>
          <w:sz w:val="32"/>
          <w:szCs w:val="32"/>
          <w:lang w:val="en-US" w:eastAsia="en-US" w:bidi="ar-SA"/>
        </w:rPr>
        <w:t>均</w:t>
      </w:r>
      <w:r>
        <w:rPr>
          <w:rFonts w:hint="eastAsia" w:ascii="仿宋" w:hAnsi="仿宋" w:eastAsia="仿宋" w:cs="仿宋"/>
          <w:color w:val="000000"/>
          <w:spacing w:val="-3"/>
          <w:kern w:val="0"/>
          <w:sz w:val="32"/>
          <w:szCs w:val="32"/>
          <w:lang w:val="en-US" w:eastAsia="zh-CN" w:bidi="ar-SA"/>
        </w:rPr>
        <w:t>需现场完成，写作题</w:t>
      </w:r>
      <w:r>
        <w:rPr>
          <w:rFonts w:hint="eastAsia" w:ascii="仿宋" w:hAnsi="仿宋" w:eastAsia="仿宋" w:cs="仿宋"/>
          <w:color w:val="000000"/>
          <w:spacing w:val="-3"/>
          <w:kern w:val="0"/>
          <w:sz w:val="32"/>
          <w:szCs w:val="32"/>
          <w:lang w:val="en-US" w:eastAsia="en-US" w:bidi="ar-SA"/>
        </w:rPr>
        <w:t>要求格式规范</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条理清楚</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表达准确。</w:t>
      </w:r>
    </w:p>
    <w:p w14:paraId="1449A02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2</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从</w:t>
      </w:r>
      <w:r>
        <w:rPr>
          <w:rFonts w:hint="eastAsia" w:ascii="仿宋" w:hAnsi="仿宋" w:eastAsia="仿宋" w:cs="仿宋"/>
          <w:color w:val="000000"/>
          <w:spacing w:val="-3"/>
          <w:kern w:val="0"/>
          <w:sz w:val="32"/>
          <w:szCs w:val="32"/>
          <w:lang w:val="en-US" w:eastAsia="zh-CN" w:bidi="ar-SA"/>
        </w:rPr>
        <w:t>写作</w:t>
      </w:r>
      <w:r>
        <w:rPr>
          <w:rFonts w:hint="eastAsia" w:ascii="仿宋" w:hAnsi="仿宋" w:eastAsia="仿宋" w:cs="仿宋"/>
          <w:color w:val="000000"/>
          <w:spacing w:val="-3"/>
          <w:kern w:val="0"/>
          <w:sz w:val="32"/>
          <w:szCs w:val="32"/>
          <w:lang w:val="en-US" w:eastAsia="en-US" w:bidi="ar-SA"/>
        </w:rPr>
        <w:t>的完整、清楚、条理、编排效果、完成速度等</w:t>
      </w:r>
      <w:r>
        <w:rPr>
          <w:rFonts w:hint="eastAsia" w:ascii="仿宋" w:hAnsi="仿宋" w:eastAsia="仿宋" w:cs="仿宋"/>
          <w:color w:val="000000"/>
          <w:spacing w:val="-3"/>
          <w:kern w:val="0"/>
          <w:sz w:val="32"/>
          <w:szCs w:val="32"/>
          <w:lang w:val="en-US" w:eastAsia="zh-CN" w:bidi="ar-SA"/>
        </w:rPr>
        <w:t>对写作题</w:t>
      </w:r>
      <w:r>
        <w:rPr>
          <w:rFonts w:hint="eastAsia" w:ascii="仿宋" w:hAnsi="仿宋" w:eastAsia="仿宋" w:cs="仿宋"/>
          <w:color w:val="000000"/>
          <w:spacing w:val="-3"/>
          <w:kern w:val="0"/>
          <w:sz w:val="32"/>
          <w:szCs w:val="32"/>
          <w:lang w:val="en-US" w:eastAsia="en-US" w:bidi="ar-SA"/>
        </w:rPr>
        <w:t>进行考评。</w:t>
      </w:r>
    </w:p>
    <w:p w14:paraId="6DE30B15">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（二）</w:t>
      </w:r>
      <w:r>
        <w:rPr>
          <w:rFonts w:hint="eastAsia" w:ascii="仿宋" w:hAnsi="仿宋" w:eastAsia="仿宋" w:cs="仿宋"/>
          <w:color w:val="000000"/>
          <w:spacing w:val="-3"/>
          <w:kern w:val="0"/>
          <w:sz w:val="32"/>
          <w:szCs w:val="32"/>
          <w:lang w:val="en-US" w:eastAsia="en-US" w:bidi="ar-SA"/>
        </w:rPr>
        <w:t>具体评分标准</w:t>
      </w:r>
    </w:p>
    <w:p w14:paraId="48B7352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1.理论题：</w:t>
      </w:r>
      <w:r>
        <w:rPr>
          <w:rFonts w:hint="eastAsia" w:ascii="仿宋" w:hAnsi="仿宋" w:eastAsia="仿宋" w:cs="仿宋"/>
          <w:b/>
          <w:bCs/>
          <w:color w:val="000000"/>
          <w:spacing w:val="-3"/>
          <w:kern w:val="0"/>
          <w:sz w:val="32"/>
          <w:szCs w:val="32"/>
          <w:lang w:val="en-US" w:eastAsia="zh-CN" w:bidi="ar-SA"/>
        </w:rPr>
        <w:t>共40分，其中，单选题10个，每题1分；简答题3个，每题5分，论述题1个，每题15分</w:t>
      </w:r>
      <w:r>
        <w:rPr>
          <w:rFonts w:hint="eastAsia" w:ascii="仿宋" w:hAnsi="仿宋" w:eastAsia="仿宋" w:cs="仿宋"/>
          <w:color w:val="000000"/>
          <w:spacing w:val="-3"/>
          <w:kern w:val="0"/>
          <w:sz w:val="32"/>
          <w:szCs w:val="32"/>
          <w:lang w:val="en-US" w:eastAsia="zh-CN" w:bidi="ar-SA"/>
        </w:rPr>
        <w:t>；</w:t>
      </w:r>
    </w:p>
    <w:p w14:paraId="59E5B1D8">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default"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2.写作题：</w:t>
      </w:r>
      <w:r>
        <w:rPr>
          <w:rFonts w:hint="eastAsia" w:ascii="仿宋" w:hAnsi="仿宋" w:eastAsia="仿宋" w:cs="仿宋"/>
          <w:b/>
          <w:bCs/>
          <w:color w:val="000000"/>
          <w:spacing w:val="-3"/>
          <w:kern w:val="0"/>
          <w:sz w:val="32"/>
          <w:szCs w:val="32"/>
          <w:lang w:val="en-US" w:eastAsia="zh-CN" w:bidi="ar-SA"/>
        </w:rPr>
        <w:t>共60分，共1题</w:t>
      </w:r>
      <w:r>
        <w:rPr>
          <w:rFonts w:hint="eastAsia" w:ascii="仿宋" w:hAnsi="仿宋" w:eastAsia="仿宋" w:cs="仿宋"/>
          <w:color w:val="000000"/>
          <w:spacing w:val="-3"/>
          <w:kern w:val="0"/>
          <w:sz w:val="32"/>
          <w:szCs w:val="32"/>
          <w:lang w:val="en-US" w:eastAsia="zh-CN" w:bidi="ar-SA"/>
        </w:rPr>
        <w:t>，评分细则如下：</w:t>
      </w:r>
    </w:p>
    <w:p w14:paraId="5F74400B">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（5</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－－6</w:t>
      </w:r>
      <w:r>
        <w:rPr>
          <w:rFonts w:hint="eastAsia" w:ascii="仿宋" w:hAnsi="仿宋" w:eastAsia="仿宋" w:cs="仿宋"/>
          <w:color w:val="000000"/>
          <w:spacing w:val="-3"/>
          <w:kern w:val="0"/>
          <w:sz w:val="32"/>
          <w:szCs w:val="32"/>
          <w:lang w:val="en-US" w:eastAsia="en-US" w:bidi="ar-SA"/>
        </w:rPr>
        <w:t>0分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格式规范</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主题明确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条理清楚</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表意精确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语言流畅</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标点符号使用正确。</w:t>
      </w:r>
    </w:p>
    <w:p w14:paraId="29E9B95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（4</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－－5</w:t>
      </w:r>
      <w:r>
        <w:rPr>
          <w:rFonts w:hint="eastAsia" w:ascii="仿宋" w:hAnsi="仿宋" w:eastAsia="仿宋" w:cs="仿宋"/>
          <w:color w:val="000000"/>
          <w:spacing w:val="-3"/>
          <w:kern w:val="0"/>
          <w:sz w:val="32"/>
          <w:szCs w:val="32"/>
          <w:lang w:val="en-US" w:eastAsia="en-US" w:bidi="ar-SA"/>
        </w:rPr>
        <w:t>0分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文档格式规范</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主题明确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条理清楚</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文字通顺。</w:t>
      </w:r>
    </w:p>
    <w:p w14:paraId="7994D2F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（3</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－－40</w:t>
      </w:r>
      <w:r>
        <w:rPr>
          <w:rFonts w:hint="eastAsia" w:ascii="仿宋" w:hAnsi="仿宋" w:eastAsia="仿宋" w:cs="仿宋"/>
          <w:color w:val="000000"/>
          <w:spacing w:val="-3"/>
          <w:kern w:val="0"/>
          <w:sz w:val="32"/>
          <w:szCs w:val="32"/>
          <w:lang w:val="en-US" w:eastAsia="en-US" w:bidi="ar-SA"/>
        </w:rPr>
        <w:t>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文档格式基本正确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内容较具体正确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结构基本完整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主题较明确。</w:t>
      </w:r>
    </w:p>
    <w:p w14:paraId="66D76224">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（1</w:t>
      </w:r>
      <w:r>
        <w:rPr>
          <w:rFonts w:hint="eastAsia" w:ascii="仿宋" w:hAnsi="仿宋" w:eastAsia="仿宋" w:cs="仿宋"/>
          <w:color w:val="000000"/>
          <w:spacing w:val="-3"/>
          <w:kern w:val="0"/>
          <w:sz w:val="32"/>
          <w:szCs w:val="32"/>
          <w:lang w:val="en-US" w:eastAsia="en-US" w:bidi="ar-SA"/>
        </w:rPr>
        <w:t>0</w:t>
      </w:r>
      <w:r>
        <w:rPr>
          <w:rFonts w:hint="eastAsia" w:ascii="仿宋" w:hAnsi="仿宋" w:eastAsia="仿宋" w:cs="仿宋"/>
          <w:color w:val="000000"/>
          <w:spacing w:val="-3"/>
          <w:kern w:val="0"/>
          <w:sz w:val="32"/>
          <w:szCs w:val="32"/>
          <w:lang w:val="en-US" w:eastAsia="zh-CN" w:bidi="ar-SA"/>
        </w:rPr>
        <w:t>－－30</w:t>
      </w:r>
      <w:r>
        <w:rPr>
          <w:rFonts w:hint="eastAsia" w:ascii="仿宋" w:hAnsi="仿宋" w:eastAsia="仿宋" w:cs="仿宋"/>
          <w:color w:val="000000"/>
          <w:spacing w:val="-3"/>
          <w:kern w:val="0"/>
          <w:sz w:val="32"/>
          <w:szCs w:val="32"/>
          <w:lang w:val="en-US" w:eastAsia="en-US" w:bidi="ar-SA"/>
        </w:rPr>
        <w:t>分</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根据案例内容</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能正确选用文种</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内容基本符合要求</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但不太规范。</w:t>
      </w:r>
    </w:p>
    <w:p w14:paraId="188E8EA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w:t>
      </w:r>
      <w:r>
        <w:rPr>
          <w:rFonts w:hint="eastAsia" w:ascii="仿宋" w:hAnsi="仿宋" w:eastAsia="仿宋" w:cs="仿宋"/>
          <w:color w:val="000000"/>
          <w:spacing w:val="-3"/>
          <w:kern w:val="0"/>
          <w:sz w:val="32"/>
          <w:szCs w:val="32"/>
          <w:lang w:val="en-US" w:eastAsia="zh-CN" w:bidi="ar-SA"/>
        </w:rPr>
        <w:t>（10</w:t>
      </w:r>
      <w:r>
        <w:rPr>
          <w:rFonts w:hint="eastAsia" w:ascii="仿宋" w:hAnsi="仿宋" w:eastAsia="仿宋" w:cs="仿宋"/>
          <w:color w:val="000000"/>
          <w:spacing w:val="-3"/>
          <w:kern w:val="0"/>
          <w:sz w:val="32"/>
          <w:szCs w:val="32"/>
          <w:lang w:val="en-US" w:eastAsia="en-US" w:bidi="ar-SA"/>
        </w:rPr>
        <w:t>分以下</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文档格式不正确</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结构不完整</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内容不符合要求</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不能按时完成。</w:t>
      </w:r>
    </w:p>
    <w:p w14:paraId="06E6D4C0">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b/>
          <w:bCs/>
          <w:color w:val="000000"/>
          <w:spacing w:val="-3"/>
          <w:kern w:val="0"/>
          <w:sz w:val="32"/>
          <w:szCs w:val="32"/>
          <w:lang w:val="en-US" w:eastAsia="en-US" w:bidi="ar-SA"/>
        </w:rPr>
      </w:pPr>
      <w:r>
        <w:rPr>
          <w:rFonts w:hint="eastAsia" w:ascii="仿宋" w:hAnsi="仿宋" w:eastAsia="仿宋" w:cs="仿宋"/>
          <w:b/>
          <w:bCs/>
          <w:color w:val="000000"/>
          <w:spacing w:val="-3"/>
          <w:kern w:val="0"/>
          <w:sz w:val="32"/>
          <w:szCs w:val="32"/>
          <w:lang w:val="en-US" w:eastAsia="zh-CN" w:bidi="ar-SA"/>
        </w:rPr>
        <w:t>四、考核形式</w:t>
      </w:r>
    </w:p>
    <w:p w14:paraId="22D149F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b/>
          <w:bCs/>
          <w:color w:val="000000"/>
          <w:spacing w:val="-3"/>
          <w:kern w:val="0"/>
          <w:sz w:val="32"/>
          <w:szCs w:val="32"/>
          <w:lang w:val="en-US" w:eastAsia="zh-CN" w:bidi="ar-SA"/>
        </w:rPr>
        <w:t>现场考核（</w:t>
      </w:r>
      <w:r>
        <w:rPr>
          <w:rFonts w:hint="eastAsia" w:ascii="仿宋" w:hAnsi="仿宋" w:eastAsia="仿宋" w:cs="仿宋"/>
          <w:color w:val="000000"/>
          <w:spacing w:val="-3"/>
          <w:kern w:val="0"/>
          <w:sz w:val="32"/>
          <w:szCs w:val="32"/>
          <w:lang w:val="en-US" w:eastAsia="zh-CN" w:bidi="ar-SA"/>
        </w:rPr>
        <w:t>考生需到指定场地进行现场考核，完成专业考试的考核要求后）</w:t>
      </w:r>
    </w:p>
    <w:p w14:paraId="5C0AC62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五、考核方向</w:t>
      </w:r>
    </w:p>
    <w:p w14:paraId="43A43238">
      <w:pPr>
        <w:keepNext w:val="0"/>
        <w:keepLines w:val="0"/>
        <w:pageBreakBefore w:val="0"/>
        <w:widowControl w:val="0"/>
        <w:kinsoku/>
        <w:wordWrap/>
        <w:overflowPunct/>
        <w:topLinePunct w:val="0"/>
        <w:autoSpaceDE w:val="0"/>
        <w:autoSpaceDN w:val="0"/>
        <w:bidi w:val="0"/>
        <w:adjustRightInd/>
        <w:snapToGrid/>
        <w:spacing w:line="360" w:lineRule="auto"/>
        <w:ind w:firstLine="468"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（一）公文理论题</w:t>
      </w:r>
    </w:p>
    <w:p w14:paraId="78630AB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1.单选题</w:t>
      </w:r>
    </w:p>
    <w:p w14:paraId="7CA11E52">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default"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例：同时像上几级或下几级机关单位行文方式是（  )</w:t>
      </w:r>
    </w:p>
    <w:p w14:paraId="465A2C7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A.逐级行文    B.越级行文</w:t>
      </w:r>
    </w:p>
    <w:p w14:paraId="1876E01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C.直接行文     D.多级行文</w:t>
      </w:r>
    </w:p>
    <w:p w14:paraId="2D58DB9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default"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答：D</w:t>
      </w:r>
    </w:p>
    <w:p w14:paraId="179E6F42">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简答题</w:t>
      </w:r>
    </w:p>
    <w:p w14:paraId="4EEF627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例：调査的方法有哪四种？</w:t>
      </w:r>
    </w:p>
    <w:p w14:paraId="3224B4B1">
      <w:pPr>
        <w:keepNext w:val="0"/>
        <w:keepLines w:val="0"/>
        <w:pageBreakBefore w:val="0"/>
        <w:widowControl w:val="0"/>
        <w:kinsoku/>
        <w:wordWrap/>
        <w:overflowPunct/>
        <w:topLinePunct w:val="0"/>
        <w:autoSpaceDE w:val="0"/>
        <w:autoSpaceDN w:val="0"/>
        <w:bidi w:val="0"/>
        <w:adjustRightInd/>
        <w:snapToGrid/>
        <w:spacing w:line="360" w:lineRule="auto"/>
        <w:ind w:firstLine="468"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答：（1）开会调查。（2）问卷调查。（3）文献调查。（4）网上调查。</w:t>
      </w:r>
    </w:p>
    <w:p w14:paraId="6177EF75">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论述题</w:t>
      </w:r>
    </w:p>
    <w:p w14:paraId="74B51B8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例：公文按照来源，可分为收文、发文和内部公文，请分别加以论述。</w:t>
      </w:r>
    </w:p>
    <w:p w14:paraId="23F06E9A">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314" w:firstLineChars="10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答：收文，是指由其他机关制定发送的公文。如领导机关的通知、通报、决定，下级机关发来的请示、报告、部分意见，平行机关发来的函等等。</w:t>
      </w:r>
    </w:p>
    <w:p w14:paraId="748F9F33">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314" w:firstLineChars="10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发文，是指本机关向其他机关发出的公文。如向领导机关报送的请示、报告、部分意见，向下级机关发出的通知、通报、决定、批复，向平行机关发出的公告、公报、函等。</w:t>
      </w:r>
    </w:p>
    <w:p w14:paraId="622AABAE">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314" w:firstLineChars="100"/>
        <w:jc w:val="left"/>
        <w:textAlignment w:val="auto"/>
        <w:rPr>
          <w:rFonts w:hint="eastAsia" w:ascii="仿宋" w:hAnsi="仿宋" w:eastAsia="仿宋" w:cs="仿宋"/>
          <w:b w:val="0"/>
          <w:bCs w:val="0"/>
          <w:color w:val="000000"/>
          <w:spacing w:val="-3"/>
          <w:kern w:val="0"/>
          <w:sz w:val="32"/>
          <w:szCs w:val="32"/>
          <w:lang w:val="en-US" w:eastAsia="zh-CN" w:bidi="ar-SA"/>
        </w:rPr>
      </w:pPr>
      <w:r>
        <w:rPr>
          <w:rFonts w:hint="eastAsia" w:ascii="仿宋" w:hAnsi="仿宋" w:eastAsia="仿宋" w:cs="仿宋"/>
          <w:b w:val="0"/>
          <w:bCs w:val="0"/>
          <w:color w:val="000000"/>
          <w:spacing w:val="-3"/>
          <w:kern w:val="0"/>
          <w:sz w:val="32"/>
          <w:szCs w:val="32"/>
          <w:lang w:val="en-US" w:eastAsia="zh-CN" w:bidi="ar-SA"/>
        </w:rPr>
        <w:t>内部公文，是指用以管理本机关的工作而制发的公文。如内部的通知、决定、通告、通报等。</w:t>
      </w:r>
    </w:p>
    <w:p w14:paraId="1B34FAD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0" w:firstLineChars="0"/>
        <w:jc w:val="left"/>
        <w:textAlignment w:val="auto"/>
        <w:rPr>
          <w:rFonts w:hint="eastAsia" w:ascii="仿宋" w:hAnsi="仿宋" w:eastAsia="仿宋" w:cs="仿宋"/>
          <w:b/>
          <w:bCs/>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（二）公文写作题</w:t>
      </w:r>
    </w:p>
    <w:p w14:paraId="5C24417A">
      <w:pPr>
        <w:keepNext w:val="0"/>
        <w:keepLines w:val="0"/>
        <w:pageBreakBefore w:val="0"/>
        <w:widowControl w:val="0"/>
        <w:kinsoku/>
        <w:wordWrap/>
        <w:overflowPunct/>
        <w:topLinePunct w:val="0"/>
        <w:autoSpaceDE w:val="0"/>
        <w:autoSpaceDN w:val="0"/>
        <w:bidi w:val="0"/>
        <w:adjustRightInd/>
        <w:snapToGrid/>
        <w:spacing w:line="360" w:lineRule="auto"/>
        <w:ind w:firstLine="468"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b/>
          <w:bCs/>
          <w:color w:val="000000"/>
          <w:spacing w:val="-3"/>
          <w:kern w:val="0"/>
          <w:sz w:val="32"/>
          <w:szCs w:val="32"/>
          <w:lang w:val="en-US" w:eastAsia="zh-CN" w:bidi="ar-SA"/>
        </w:rPr>
        <w:t>学生根据上述本指导书中拟考核写的公文文种，写出符合要求的公文。</w:t>
      </w:r>
      <w:r>
        <w:rPr>
          <w:rFonts w:hint="eastAsia" w:ascii="仿宋" w:hAnsi="仿宋" w:eastAsia="仿宋" w:cs="仿宋"/>
          <w:color w:val="000000"/>
          <w:spacing w:val="-3"/>
          <w:kern w:val="0"/>
          <w:sz w:val="32"/>
          <w:szCs w:val="32"/>
          <w:lang w:val="en-US" w:eastAsia="zh-CN" w:bidi="ar-SA"/>
        </w:rPr>
        <w:t>参考考核方向如下（仅为参考方向，具体以考核时为准）：</w:t>
      </w:r>
    </w:p>
    <w:p w14:paraId="23F1788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案例１根据提供的材料，拟写一份</w:t>
      </w:r>
      <w:r>
        <w:rPr>
          <w:rFonts w:hint="eastAsia" w:ascii="仿宋" w:hAnsi="仿宋" w:eastAsia="仿宋" w:cs="仿宋"/>
          <w:b/>
          <w:bCs/>
          <w:color w:val="000000"/>
          <w:spacing w:val="-3"/>
          <w:kern w:val="0"/>
          <w:sz w:val="32"/>
          <w:szCs w:val="32"/>
          <w:lang w:val="en-US" w:eastAsia="zh-CN" w:bidi="ar-SA"/>
        </w:rPr>
        <w:t>会议通知</w:t>
      </w:r>
      <w:r>
        <w:rPr>
          <w:rFonts w:hint="eastAsia" w:ascii="仿宋" w:hAnsi="仿宋" w:eastAsia="仿宋" w:cs="仿宋"/>
          <w:color w:val="000000"/>
          <w:spacing w:val="-3"/>
          <w:kern w:val="0"/>
          <w:sz w:val="32"/>
          <w:szCs w:val="32"/>
          <w:lang w:val="en-US" w:eastAsia="zh-CN" w:bidi="ar-SA"/>
        </w:rPr>
        <w:t>。</w:t>
      </w:r>
    </w:p>
    <w:p w14:paraId="6E7BDCE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中国工商银行决定于2006年12月15日在北京召开投资信息调查研究工作会议，传达贯彻行长对当前投资信息调查研究工作的指示精神，交流经验，布置2007年的工作。会期10天。各省(市)分行派一名主管这项工作的主任(或外长)参加，并自带本单位投资信息调查研究工作总结一式20份。</w:t>
      </w:r>
    </w:p>
    <w:p w14:paraId="715BA2D8">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案例２根据下面的材料，代××县地税局拟写一份</w:t>
      </w:r>
      <w:r>
        <w:rPr>
          <w:rFonts w:hint="eastAsia" w:ascii="仿宋" w:hAnsi="仿宋" w:eastAsia="仿宋" w:cs="仿宋"/>
          <w:b/>
          <w:bCs/>
          <w:color w:val="000000"/>
          <w:spacing w:val="-3"/>
          <w:kern w:val="0"/>
          <w:sz w:val="32"/>
          <w:szCs w:val="32"/>
          <w:lang w:val="en-US" w:eastAsia="zh-CN" w:bidi="ar-SA"/>
        </w:rPr>
        <w:t>通报</w:t>
      </w:r>
      <w:r>
        <w:rPr>
          <w:rFonts w:hint="eastAsia" w:ascii="仿宋" w:hAnsi="仿宋" w:eastAsia="仿宋" w:cs="仿宋"/>
          <w:color w:val="000000"/>
          <w:spacing w:val="-3"/>
          <w:kern w:val="0"/>
          <w:sz w:val="32"/>
          <w:szCs w:val="32"/>
          <w:lang w:val="en-US" w:eastAsia="zh-CN" w:bidi="ar-SA"/>
        </w:rPr>
        <w:t>。</w:t>
      </w:r>
    </w:p>
    <w:p w14:paraId="54DDF9DF">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(1)原××镇农贸市场协税员刘柳，男，29岁。</w:t>
      </w:r>
    </w:p>
    <w:p w14:paraId="16CD36B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(2)该员工在应聘期间，组织纪行性较差，法制观念淡薄，经领导帮助尚未认识到自己问题的严重性，而且对收取的税款不按规定及时上交入库。</w:t>
      </w:r>
    </w:p>
    <w:p w14:paraId="19FDD83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(3)问题暴露后，不但不及时向组织报告，反而外逃躲避，后被公安机关抓获，予以行政拘留。</w:t>
      </w:r>
    </w:p>
    <w:p w14:paraId="602ED4D1">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(4)刘柳利用工作之便，贪国家税款，已丧失协税人员的职业道德，造成一定的损失和恶劣影响。</w:t>
      </w:r>
    </w:p>
    <w:p w14:paraId="6D4006E4">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(5)于1999年5月25日至2000年6月16日应聘为农贸市场协税员。</w:t>
      </w:r>
    </w:p>
    <w:p w14:paraId="1DF9548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(6)各单位组织税务人员认真学习通报，增强税务人员的法制观念，提高遵纪守法的自觉性，并建立和健全各种规章制度，严防贪、挪用税款等类似事件的发生。</w:t>
      </w:r>
    </w:p>
    <w:p w14:paraId="17D6F5E7">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(7)挪用税款37872.90元，用于自己吃喝玩乐和赌博。</w:t>
      </w:r>
    </w:p>
    <w:p w14:paraId="7F65B2C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(8)经研究决定，责令刘柳必须把贪的税款限期退清，并予以辞退。为加强对协税人员的管理，提出以下意见。(略)</w:t>
      </w:r>
    </w:p>
    <w:p w14:paraId="26804E1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案例３根据下面材料，请拟写一份去</w:t>
      </w:r>
      <w:r>
        <w:rPr>
          <w:rFonts w:hint="eastAsia" w:ascii="仿宋" w:hAnsi="仿宋" w:eastAsia="仿宋" w:cs="仿宋"/>
          <w:b/>
          <w:bCs/>
          <w:color w:val="000000"/>
          <w:spacing w:val="-3"/>
          <w:kern w:val="0"/>
          <w:sz w:val="32"/>
          <w:szCs w:val="32"/>
          <w:lang w:val="en-US" w:eastAsia="zh-CN" w:bidi="ar-SA"/>
        </w:rPr>
        <w:t>函和复函</w:t>
      </w:r>
      <w:r>
        <w:rPr>
          <w:rFonts w:hint="eastAsia" w:ascii="仿宋" w:hAnsi="仿宋" w:eastAsia="仿宋" w:cs="仿宋"/>
          <w:color w:val="000000"/>
          <w:spacing w:val="-3"/>
          <w:kern w:val="0"/>
          <w:sz w:val="32"/>
          <w:szCs w:val="32"/>
          <w:lang w:val="en-US" w:eastAsia="zh-CN" w:bidi="ar-SA"/>
        </w:rPr>
        <w:t>。</w:t>
      </w:r>
    </w:p>
    <w:p w14:paraId="7B844C1E">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市月明服装商场于2003年1月8日与××市春雨针织厂签订了一份供货合同:由××市春雨针织厂供应花朵牌运动服5000套。但是交货时间已过2天，针织厂的货仍未到。眼下正值销售旺季，所以××市月明服装商场市场营销部决定发函，请厂方认真履行合同，迅速发货。接到来函后，春雨针织厂马上回函，说明已按时发贷，请查收。</w:t>
      </w:r>
    </w:p>
    <w:p w14:paraId="42517A52">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案例４根据下列材料，拟写一份</w:t>
      </w:r>
      <w:r>
        <w:rPr>
          <w:rFonts w:hint="eastAsia" w:ascii="仿宋" w:hAnsi="仿宋" w:eastAsia="仿宋" w:cs="仿宋"/>
          <w:b/>
          <w:bCs/>
          <w:color w:val="000000"/>
          <w:spacing w:val="-3"/>
          <w:kern w:val="0"/>
          <w:sz w:val="32"/>
          <w:szCs w:val="32"/>
          <w:lang w:val="en-US" w:eastAsia="zh-CN" w:bidi="ar-SA"/>
        </w:rPr>
        <w:t>请示</w:t>
      </w:r>
    </w:p>
    <w:p w14:paraId="2F793B19">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ＸＸ职业学院，经过一年多的努力，已基本具备了招收“涉外法律”专业的条件，决定向省教育厅申报成立“涉外法律专业”，并拟于明年开始招生，请你为该院拟定一份请示。</w:t>
      </w:r>
    </w:p>
    <w:p w14:paraId="0FC9843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案例５根据下列材料，拟写一份</w:t>
      </w:r>
      <w:r>
        <w:rPr>
          <w:rFonts w:hint="eastAsia" w:ascii="仿宋" w:hAnsi="仿宋" w:eastAsia="仿宋" w:cs="仿宋"/>
          <w:b/>
          <w:bCs/>
          <w:color w:val="000000"/>
          <w:spacing w:val="-3"/>
          <w:kern w:val="0"/>
          <w:sz w:val="32"/>
          <w:szCs w:val="32"/>
          <w:lang w:val="en-US" w:eastAsia="zh-CN" w:bidi="ar-SA"/>
        </w:rPr>
        <w:t>决定</w:t>
      </w:r>
    </w:p>
    <w:p w14:paraId="6AB5C73D">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XX市民警张军、李明为保护人民生命财产，与持枪歹徒搏斗，身负重伤，省公安厅为此作出表彰决定，并授予他们“优秀人民警察”称号。请代省公安厅起草该决定</w:t>
      </w:r>
    </w:p>
    <w:p w14:paraId="2EAD7FBC">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案例６根据下列材料，拟写一份</w:t>
      </w:r>
      <w:r>
        <w:rPr>
          <w:rFonts w:hint="eastAsia" w:ascii="仿宋" w:hAnsi="仿宋" w:eastAsia="仿宋" w:cs="仿宋"/>
          <w:b/>
          <w:bCs/>
          <w:color w:val="000000"/>
          <w:spacing w:val="-3"/>
          <w:kern w:val="0"/>
          <w:sz w:val="32"/>
          <w:szCs w:val="32"/>
          <w:lang w:val="en-US" w:eastAsia="zh-CN" w:bidi="ar-SA"/>
        </w:rPr>
        <w:t>通告</w:t>
      </w:r>
    </w:p>
    <w:p w14:paraId="3D57ACFA">
      <w:pPr>
        <w:keepNext w:val="0"/>
        <w:keepLines w:val="0"/>
        <w:pageBreakBefore w:val="0"/>
        <w:widowControl w:val="0"/>
        <w:kinsoku/>
        <w:wordWrap/>
        <w:overflowPunct/>
        <w:topLinePunct w:val="0"/>
        <w:autoSpaceDE w:val="0"/>
        <w:autoSpaceDN w:val="0"/>
        <w:bidi w:val="0"/>
        <w:adjustRightInd/>
        <w:snapToGrid/>
        <w:spacing w:line="360" w:lineRule="auto"/>
        <w:ind w:firstLine="0" w:firstLineChars="0"/>
        <w:jc w:val="left"/>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spacing w:val="-3"/>
          <w:kern w:val="0"/>
          <w:sz w:val="32"/>
          <w:szCs w:val="32"/>
          <w:lang w:val="en-US" w:eastAsia="zh-CN" w:bidi="ar-SA"/>
        </w:rPr>
        <w:t>XX市街道两边的公用电话亭设立以来，常遭人为的严重破坏，请以市电信局、公安局的名义，拟一个通告，制止这种破坏现象</w:t>
      </w:r>
    </w:p>
    <w:p w14:paraId="3955ED45">
      <w:pPr>
        <w:pStyle w:val="3"/>
        <w:keepNext w:val="0"/>
        <w:keepLines w:val="0"/>
        <w:pageBreakBefore w:val="0"/>
        <w:widowControl w:val="0"/>
        <w:numPr>
          <w:ilvl w:val="0"/>
          <w:numId w:val="0"/>
        </w:numPr>
        <w:kinsoku/>
        <w:wordWrap/>
        <w:overflowPunct/>
        <w:topLinePunct w:val="0"/>
        <w:bidi w:val="0"/>
        <w:adjustRightInd/>
        <w:snapToGrid/>
        <w:spacing w:line="360" w:lineRule="auto"/>
        <w:textAlignment w:val="auto"/>
        <w:rPr>
          <w:rFonts w:hint="eastAsia" w:ascii="仿宋" w:hAnsi="仿宋" w:eastAsia="仿宋" w:cs="仿宋"/>
          <w:b/>
          <w:bCs/>
          <w:color w:val="000000" w:themeColor="text1"/>
          <w:kern w:val="2"/>
          <w:sz w:val="32"/>
          <w:szCs w:val="32"/>
          <w:lang w:val="en-US" w:eastAsia="zh-CN" w:bidi="ar-SA"/>
          <w14:textFill>
            <w14:solidFill>
              <w14:schemeClr w14:val="tx1"/>
            </w14:solidFill>
          </w14:textFill>
        </w:rPr>
      </w:pP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六</w:t>
      </w:r>
      <w:r>
        <w:rPr>
          <w:rFonts w:hint="eastAsia" w:ascii="仿宋" w:hAnsi="仿宋" w:eastAsia="仿宋" w:cs="仿宋"/>
          <w:b/>
          <w:bCs/>
          <w:color w:val="000000"/>
          <w:kern w:val="0"/>
          <w:sz w:val="32"/>
          <w:szCs w:val="32"/>
          <w:lang w:val="en-US" w:eastAsia="en-US" w:bidi="ar-SA"/>
        </w:rPr>
        <w:t>、</w:t>
      </w:r>
      <w:r>
        <w:rPr>
          <w:rFonts w:hint="eastAsia" w:ascii="仿宋" w:hAnsi="仿宋" w:eastAsia="仿宋" w:cs="仿宋"/>
          <w:b/>
          <w:bCs/>
          <w:color w:val="000000" w:themeColor="text1"/>
          <w:kern w:val="2"/>
          <w:sz w:val="32"/>
          <w:szCs w:val="32"/>
          <w:lang w:val="en-US" w:eastAsia="zh-CN" w:bidi="ar-SA"/>
          <w14:textFill>
            <w14:solidFill>
              <w14:schemeClr w14:val="tx1"/>
            </w14:solidFill>
          </w14:textFill>
        </w:rPr>
        <w:t>教材与参考资料</w:t>
      </w:r>
    </w:p>
    <w:p w14:paraId="490D9197">
      <w:pPr>
        <w:pStyle w:val="3"/>
        <w:keepNext w:val="0"/>
        <w:keepLines w:val="0"/>
        <w:pageBreakBefore w:val="0"/>
        <w:widowControl w:val="0"/>
        <w:numPr>
          <w:ilvl w:val="0"/>
          <w:numId w:val="0"/>
        </w:numPr>
        <w:kinsoku/>
        <w:wordWrap/>
        <w:overflowPunct/>
        <w:topLinePunct w:val="0"/>
        <w:bidi w:val="0"/>
        <w:adjustRightInd/>
        <w:snapToGrid/>
        <w:ind w:firstLine="560"/>
        <w:textAlignment w:val="auto"/>
        <w:rPr>
          <w:rFonts w:hint="eastAsia" w:ascii="仿宋" w:hAnsi="仿宋" w:eastAsia="仿宋" w:cs="仿宋"/>
          <w:color w:val="000000"/>
          <w:spacing w:val="-3"/>
          <w:kern w:val="0"/>
          <w:sz w:val="32"/>
          <w:szCs w:val="32"/>
          <w:lang w:val="en-US" w:eastAsia="zh-CN" w:bidi="ar-SA"/>
        </w:rPr>
      </w:pPr>
      <w:r>
        <w:rPr>
          <w:rFonts w:hint="eastAsia" w:ascii="仿宋" w:hAnsi="仿宋" w:eastAsia="仿宋" w:cs="仿宋"/>
          <w:color w:val="000000"/>
          <w:spacing w:val="-3"/>
          <w:kern w:val="0"/>
          <w:sz w:val="32"/>
          <w:szCs w:val="32"/>
          <w:lang w:val="en-US" w:eastAsia="zh-CN" w:bidi="ar-SA"/>
        </w:rPr>
        <w:t>《公文写作与处理》，饶士奇主编，辽宁教育出版社，2004年版。</w:t>
      </w:r>
    </w:p>
    <w:p w14:paraId="2FA33C8E">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本课程共12章，第1至第4章为总论部分，第5至第9章为公文写作部分，第10到第12章为公文处理部分。</w:t>
      </w:r>
    </w:p>
    <w:p w14:paraId="201BE40E">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总论部分对公文、公文写作、公文体式与行文规范作了系统阐述，是全书的总纲；公文写作部分对机关法定公文和机关其他常用公文文种的写作特点、要求并结合相关例文进行了详细讲解；公文处理部分则对机关的公文处理的原则、方法、办理程序以及整理（立卷）归档等作了深入阐述，理论性、操作性强。各章节之间既有联系又有区别，学生应在全面系统学习各章的基础上注意掌握重点章节、次重点章节和一般章节的内容，注意各章节之间的逻辑关系，循序渐进地学习。</w:t>
      </w:r>
    </w:p>
    <w:p w14:paraId="40B7F699">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（一）</w:t>
      </w:r>
      <w:r>
        <w:rPr>
          <w:rFonts w:hint="eastAsia" w:ascii="仿宋" w:hAnsi="仿宋" w:eastAsia="仿宋" w:cs="仿宋"/>
          <w:color w:val="000000"/>
          <w:spacing w:val="-3"/>
          <w:kern w:val="0"/>
          <w:sz w:val="32"/>
          <w:szCs w:val="32"/>
          <w:lang w:val="en-US" w:eastAsia="en-US" w:bidi="ar-SA"/>
        </w:rPr>
        <w:t>课程的</w:t>
      </w:r>
      <w:r>
        <w:rPr>
          <w:rFonts w:hint="eastAsia" w:ascii="仿宋" w:hAnsi="仿宋" w:eastAsia="仿宋" w:cs="仿宋"/>
          <w:b/>
          <w:bCs/>
          <w:color w:val="000000"/>
          <w:spacing w:val="-3"/>
          <w:kern w:val="0"/>
          <w:sz w:val="32"/>
          <w:szCs w:val="32"/>
          <w:lang w:val="en-US" w:eastAsia="en-US" w:bidi="ar-SA"/>
        </w:rPr>
        <w:t>重点章节</w:t>
      </w:r>
      <w:r>
        <w:rPr>
          <w:rFonts w:hint="eastAsia" w:ascii="仿宋" w:hAnsi="仿宋" w:eastAsia="仿宋" w:cs="仿宋"/>
          <w:color w:val="000000"/>
          <w:spacing w:val="-3"/>
          <w:kern w:val="0"/>
          <w:sz w:val="32"/>
          <w:szCs w:val="32"/>
          <w:lang w:val="en-US" w:eastAsia="en-US" w:bidi="ar-SA"/>
        </w:rPr>
        <w:t>为：</w:t>
      </w:r>
    </w:p>
    <w:p w14:paraId="2072E800">
      <w:pPr>
        <w:pStyle w:val="3"/>
        <w:keepNext w:val="0"/>
        <w:keepLines w:val="0"/>
        <w:pageBreakBefore w:val="0"/>
        <w:widowControl w:val="0"/>
        <w:numPr>
          <w:ilvl w:val="0"/>
          <w:numId w:val="0"/>
        </w:numPr>
        <w:kinsoku/>
        <w:wordWrap/>
        <w:overflowPunct/>
        <w:topLinePunct w:val="0"/>
        <w:bidi w:val="0"/>
        <w:adjustRightInd/>
        <w:snapToGrid/>
        <w:spacing w:line="360" w:lineRule="auto"/>
        <w:ind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w:t>
      </w:r>
      <w:r>
        <w:rPr>
          <w:rFonts w:hint="eastAsia" w:ascii="仿宋" w:hAnsi="仿宋" w:eastAsia="仿宋" w:cs="仿宋"/>
          <w:color w:val="000000"/>
          <w:spacing w:val="-3"/>
          <w:kern w:val="0"/>
          <w:sz w:val="32"/>
          <w:szCs w:val="32"/>
          <w:lang w:val="en-US" w:eastAsia="zh-CN" w:bidi="ar-SA"/>
        </w:rPr>
        <w:t>一</w:t>
      </w:r>
      <w:r>
        <w:rPr>
          <w:rFonts w:hint="eastAsia" w:ascii="仿宋" w:hAnsi="仿宋" w:eastAsia="仿宋" w:cs="仿宋"/>
          <w:color w:val="000000"/>
          <w:spacing w:val="-3"/>
          <w:kern w:val="0"/>
          <w:sz w:val="32"/>
          <w:szCs w:val="32"/>
          <w:lang w:val="en-US" w:eastAsia="en-US" w:bidi="ar-SA"/>
        </w:rPr>
        <w:t>章</w:t>
      </w:r>
      <w:r>
        <w:rPr>
          <w:rFonts w:hint="eastAsia" w:ascii="仿宋" w:hAnsi="仿宋" w:eastAsia="仿宋" w:cs="仿宋"/>
          <w:color w:val="000000"/>
          <w:spacing w:val="-3"/>
          <w:kern w:val="0"/>
          <w:sz w:val="32"/>
          <w:szCs w:val="32"/>
          <w:lang w:val="en-US" w:eastAsia="zh-CN" w:bidi="ar-SA"/>
        </w:rPr>
        <w:t>，</w:t>
      </w:r>
      <w:r>
        <w:rPr>
          <w:rFonts w:hint="eastAsia" w:ascii="仿宋" w:hAnsi="仿宋" w:eastAsia="仿宋" w:cs="仿宋"/>
          <w:color w:val="000000"/>
          <w:spacing w:val="-3"/>
          <w:kern w:val="0"/>
          <w:sz w:val="32"/>
          <w:szCs w:val="32"/>
          <w:lang w:val="en-US" w:eastAsia="en-US" w:bidi="ar-SA"/>
        </w:rPr>
        <w:t>第一节"公文概述"，第二节"公文的特点与作用"，第三节"公文的分类与文种"</w:t>
      </w:r>
    </w:p>
    <w:p w14:paraId="1FB688CA">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第二节"公文写作的特点与要求"</w:t>
      </w:r>
    </w:p>
    <w:p w14:paraId="438538FC">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第一节"公文的体式"，第二节"公文的构成要素与文面格式"</w:t>
      </w:r>
    </w:p>
    <w:p w14:paraId="6276447E">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第二节"公文的行文方向与方式"，第三节"公文的行文规则"</w:t>
      </w:r>
    </w:p>
    <w:p w14:paraId="7549D9AC">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第四节"指示、意见"</w:t>
      </w:r>
    </w:p>
    <w:p w14:paraId="27ED8E96">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第五节"公告、通告、公报"，第六节"通知"，第七节"通报"</w:t>
      </w:r>
    </w:p>
    <w:p w14:paraId="18DEC01F">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第八节"报告"，第九节"请示"，第十节"批复"，第十一节"函"，第十二节"会议纪要"</w:t>
      </w:r>
    </w:p>
    <w:p w14:paraId="7E3608CA">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第四节"调查报告"</w:t>
      </w:r>
    </w:p>
    <w:p w14:paraId="06CFE693">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第七节"简报类文书"</w:t>
      </w:r>
    </w:p>
    <w:p w14:paraId="1024E6AD">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第三节"公文处理工作的原则与要求"</w:t>
      </w:r>
    </w:p>
    <w:p w14:paraId="3BFEEEBC">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第二节"收文办理程序"，第三节"发文办理程序"</w:t>
      </w:r>
    </w:p>
    <w:p w14:paraId="529DAA39">
      <w:pPr>
        <w:pStyle w:val="3"/>
        <w:keepNext w:val="0"/>
        <w:keepLines w:val="0"/>
        <w:pageBreakBefore w:val="0"/>
        <w:widowControl w:val="0"/>
        <w:numPr>
          <w:ilvl w:val="0"/>
          <w:numId w:val="3"/>
        </w:numPr>
        <w:kinsoku/>
        <w:wordWrap/>
        <w:overflowPunct/>
        <w:topLinePunct w:val="0"/>
        <w:bidi w:val="0"/>
        <w:adjustRightInd/>
        <w:snapToGrid/>
        <w:spacing w:line="360" w:lineRule="auto"/>
        <w:ind w:left="0" w:leftChars="0" w:firstLine="628" w:firstLine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第一节"归档文件整理工作概述"，第三节"归档文件整理的原则与要求"，第四节"归档文件整理方法与归档"</w:t>
      </w:r>
    </w:p>
    <w:p w14:paraId="339145B4">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（二）</w:t>
      </w:r>
      <w:r>
        <w:rPr>
          <w:rFonts w:hint="eastAsia" w:ascii="仿宋" w:hAnsi="仿宋" w:eastAsia="仿宋" w:cs="仿宋"/>
          <w:color w:val="000000"/>
          <w:spacing w:val="-3"/>
          <w:kern w:val="0"/>
          <w:sz w:val="32"/>
          <w:szCs w:val="32"/>
          <w:lang w:val="en-US" w:eastAsia="en-US" w:bidi="ar-SA"/>
        </w:rPr>
        <w:t>课程的</w:t>
      </w:r>
      <w:r>
        <w:rPr>
          <w:rFonts w:hint="eastAsia" w:ascii="仿宋" w:hAnsi="仿宋" w:eastAsia="仿宋" w:cs="仿宋"/>
          <w:b/>
          <w:bCs/>
          <w:color w:val="000000"/>
          <w:spacing w:val="-3"/>
          <w:kern w:val="0"/>
          <w:sz w:val="32"/>
          <w:szCs w:val="32"/>
          <w:lang w:val="en-US" w:eastAsia="en-US" w:bidi="ar-SA"/>
        </w:rPr>
        <w:t>次重点章节</w:t>
      </w:r>
      <w:r>
        <w:rPr>
          <w:rFonts w:hint="eastAsia" w:ascii="仿宋" w:hAnsi="仿宋" w:eastAsia="仿宋" w:cs="仿宋"/>
          <w:color w:val="000000"/>
          <w:spacing w:val="-3"/>
          <w:kern w:val="0"/>
          <w:sz w:val="32"/>
          <w:szCs w:val="32"/>
          <w:lang w:val="en-US" w:eastAsia="en-US" w:bidi="ar-SA"/>
        </w:rPr>
        <w:t>为：</w:t>
      </w:r>
    </w:p>
    <w:p w14:paraId="3721BB73">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第二章，第一节"公文写作概述"，第三节"公文写作的步骤与方法"</w:t>
      </w:r>
    </w:p>
    <w:p w14:paraId="5A60187E">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第三章，第三节"公文的排版形式与装订要求"</w:t>
      </w:r>
    </w:p>
    <w:p w14:paraId="18F47660">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第四章，第一节"公文的行文关系"</w:t>
      </w:r>
    </w:p>
    <w:p w14:paraId="6FC5FC6C">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第五章，第一节"命令（令）"，第二节"议案"，第三节"决定、决议"</w:t>
      </w:r>
    </w:p>
    <w:p w14:paraId="1147C4B1">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第六章，第十三节"条例、规定"</w:t>
      </w:r>
    </w:p>
    <w:p w14:paraId="4DDB03F1">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第七章，第一节"规章类文书"，第二节"计划类文书"，第三节"总结</w:t>
      </w:r>
    </w:p>
    <w:p w14:paraId="15FE8872">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第八章，第五节"讲话类文书"，第六节"记录类文书"，第八节"建议类文书"</w:t>
      </w:r>
    </w:p>
    <w:p w14:paraId="5A3396B1">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第十章，第一节"公文处理工作概述"</w:t>
      </w:r>
    </w:p>
    <w:p w14:paraId="153DFAB0">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第十三章，第二节"归档文件整理（立卷）工作的组织"</w:t>
      </w:r>
    </w:p>
    <w:p w14:paraId="1D1B21B4">
      <w:pPr>
        <w:pStyle w:val="3"/>
        <w:keepNext w:val="0"/>
        <w:keepLines w:val="0"/>
        <w:pageBreakBefore w:val="0"/>
        <w:widowControl w:val="0"/>
        <w:numPr>
          <w:ilvl w:val="0"/>
          <w:numId w:val="0"/>
        </w:numPr>
        <w:kinsoku/>
        <w:wordWrap/>
        <w:overflowPunct/>
        <w:topLinePunct w:val="0"/>
        <w:bidi w:val="0"/>
        <w:adjustRightInd/>
        <w:snapToGrid/>
        <w:spacing w:line="360" w:lineRule="auto"/>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zh-CN" w:bidi="ar-SA"/>
        </w:rPr>
        <w:t>（三）</w:t>
      </w:r>
      <w:r>
        <w:rPr>
          <w:rFonts w:hint="eastAsia" w:ascii="仿宋" w:hAnsi="仿宋" w:eastAsia="仿宋" w:cs="仿宋"/>
          <w:color w:val="000000"/>
          <w:spacing w:val="-3"/>
          <w:kern w:val="0"/>
          <w:sz w:val="32"/>
          <w:szCs w:val="32"/>
          <w:lang w:val="en-US" w:eastAsia="en-US" w:bidi="ar-SA"/>
        </w:rPr>
        <w:t>课程的</w:t>
      </w:r>
      <w:r>
        <w:rPr>
          <w:rFonts w:hint="eastAsia" w:ascii="仿宋" w:hAnsi="仿宋" w:eastAsia="仿宋" w:cs="仿宋"/>
          <w:b/>
          <w:bCs/>
          <w:color w:val="000000"/>
          <w:spacing w:val="-3"/>
          <w:kern w:val="0"/>
          <w:sz w:val="32"/>
          <w:szCs w:val="32"/>
          <w:lang w:val="en-US" w:eastAsia="en-US" w:bidi="ar-SA"/>
        </w:rPr>
        <w:t>一般章节</w:t>
      </w:r>
      <w:r>
        <w:rPr>
          <w:rFonts w:hint="eastAsia" w:ascii="仿宋" w:hAnsi="仿宋" w:eastAsia="仿宋" w:cs="仿宋"/>
          <w:color w:val="000000"/>
          <w:spacing w:val="-3"/>
          <w:kern w:val="0"/>
          <w:sz w:val="32"/>
          <w:szCs w:val="32"/>
          <w:lang w:val="en-US" w:eastAsia="en-US" w:bidi="ar-SA"/>
        </w:rPr>
        <w:t>为：</w:t>
      </w:r>
    </w:p>
    <w:p w14:paraId="5547F5C3">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第二章，第四节"公文写作人员的修养"</w:t>
      </w:r>
    </w:p>
    <w:p w14:paraId="2484A5E4">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第三章，"公文的体式与稿本"的第四节"公文的稿本"</w:t>
      </w:r>
    </w:p>
    <w:p w14:paraId="47B6790A">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第十章，第二节"公文处理工作的任务与组织"</w:t>
      </w:r>
    </w:p>
    <w:p w14:paraId="678CDD3D">
      <w:pPr>
        <w:pStyle w:val="3"/>
        <w:keepNext w:val="0"/>
        <w:keepLines w:val="0"/>
        <w:pageBreakBefore w:val="0"/>
        <w:widowControl w:val="0"/>
        <w:numPr>
          <w:ilvl w:val="0"/>
          <w:numId w:val="0"/>
        </w:numPr>
        <w:kinsoku/>
        <w:wordWrap/>
        <w:overflowPunct/>
        <w:topLinePunct w:val="0"/>
        <w:bidi w:val="0"/>
        <w:adjustRightInd/>
        <w:snapToGrid/>
        <w:spacing w:line="360" w:lineRule="auto"/>
        <w:ind w:leftChars="200"/>
        <w:jc w:val="both"/>
        <w:textAlignment w:val="auto"/>
        <w:rPr>
          <w:rFonts w:hint="eastAsia" w:ascii="仿宋" w:hAnsi="仿宋" w:eastAsia="仿宋" w:cs="仿宋"/>
          <w:color w:val="000000"/>
          <w:spacing w:val="-3"/>
          <w:kern w:val="0"/>
          <w:sz w:val="32"/>
          <w:szCs w:val="32"/>
          <w:lang w:val="en-US" w:eastAsia="en-US" w:bidi="ar-SA"/>
        </w:rPr>
      </w:pPr>
      <w:r>
        <w:rPr>
          <w:rFonts w:hint="eastAsia" w:ascii="仿宋" w:hAnsi="仿宋" w:eastAsia="仿宋" w:cs="仿宋"/>
          <w:color w:val="000000"/>
          <w:spacing w:val="-3"/>
          <w:kern w:val="0"/>
          <w:sz w:val="32"/>
          <w:szCs w:val="32"/>
          <w:lang w:val="en-US" w:eastAsia="en-US" w:bidi="ar-SA"/>
        </w:rPr>
        <w:t>第十一章"公文办理程序"的第一节"公文办理程序概述"</w:t>
      </w:r>
    </w:p>
    <w:p w14:paraId="0418C859">
      <w:pPr>
        <w:ind w:left="0" w:leftChars="0" w:firstLine="0" w:firstLineChars="0"/>
        <w:jc w:val="both"/>
        <w:rPr>
          <w:rFonts w:hint="eastAsia" w:ascii="宋体" w:hAnsi="宋体" w:eastAsia="宋体" w:cs="宋体"/>
        </w:rPr>
      </w:pP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中文正文">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CC4995"/>
    <w:multiLevelType w:val="singleLevel"/>
    <w:tmpl w:val="BECC4995"/>
    <w:lvl w:ilvl="0" w:tentative="0">
      <w:start w:val="2"/>
      <w:numFmt w:val="decimal"/>
      <w:lvlText w:val="%1."/>
      <w:lvlJc w:val="left"/>
      <w:pPr>
        <w:tabs>
          <w:tab w:val="left" w:pos="312"/>
        </w:tabs>
      </w:pPr>
    </w:lvl>
  </w:abstractNum>
  <w:abstractNum w:abstractNumId="1">
    <w:nsid w:val="47ABC419"/>
    <w:multiLevelType w:val="singleLevel"/>
    <w:tmpl w:val="47ABC419"/>
    <w:lvl w:ilvl="0" w:tentative="0">
      <w:start w:val="1"/>
      <w:numFmt w:val="chineseCounting"/>
      <w:suff w:val="nothing"/>
      <w:lvlText w:val="第%1章，"/>
      <w:lvlJc w:val="left"/>
      <w:rPr>
        <w:rFonts w:hint="eastAsia"/>
      </w:rPr>
    </w:lvl>
  </w:abstractNum>
  <w:abstractNum w:abstractNumId="2">
    <w:nsid w:val="4EDD8F5D"/>
    <w:multiLevelType w:val="singleLevel"/>
    <w:tmpl w:val="4EDD8F5D"/>
    <w:lvl w:ilvl="0" w:tentative="0">
      <w:start w:val="1"/>
      <w:numFmt w:val="chineseCounting"/>
      <w:suff w:val="nothing"/>
      <w:lvlText w:val="%1、"/>
      <w:lvlJc w:val="left"/>
      <w:pPr>
        <w:ind w:left="3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37ECB"/>
    <w:rsid w:val="06830E67"/>
    <w:rsid w:val="07937ECB"/>
    <w:rsid w:val="08F71ABF"/>
    <w:rsid w:val="1E2B39E8"/>
    <w:rsid w:val="1FE808D8"/>
    <w:rsid w:val="2C2B0B0B"/>
    <w:rsid w:val="2DBF1186"/>
    <w:rsid w:val="35106C98"/>
    <w:rsid w:val="3D3A632A"/>
    <w:rsid w:val="3F7A5F07"/>
    <w:rsid w:val="40A90CBC"/>
    <w:rsid w:val="419E48F9"/>
    <w:rsid w:val="520E22B0"/>
    <w:rsid w:val="678E25B0"/>
    <w:rsid w:val="6CF4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420" w:firstLineChars="200"/>
      <w:jc w:val="both"/>
    </w:pPr>
    <w:rPr>
      <w:rFonts w:ascii="+西文正文" w:hAnsi="+西文正文" w:eastAsia="+中文正文" w:cstheme="minorBidi"/>
      <w:kern w:val="2"/>
      <w:sz w:val="32"/>
      <w:szCs w:val="24"/>
      <w:lang w:val="en-US" w:eastAsia="zh-CN" w:bidi="ar-SA"/>
    </w:rPr>
  </w:style>
  <w:style w:type="paragraph" w:styleId="2">
    <w:name w:val="heading 1"/>
    <w:basedOn w:val="1"/>
    <w:next w:val="1"/>
    <w:qFormat/>
    <w:uiPriority w:val="0"/>
    <w:pPr>
      <w:keepNext/>
      <w:keepLines/>
      <w:spacing w:before="340" w:after="330" w:line="576" w:lineRule="auto"/>
      <w:jc w:val="center"/>
      <w:outlineLvl w:val="0"/>
    </w:pPr>
    <w:rPr>
      <w:rFonts w:eastAsia="宋体" w:asciiTheme="minorAscii" w:hAnsiTheme="minorAscii"/>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360" w:lineRule="auto"/>
      <w:ind w:firstLine="480" w:firstLineChars="200"/>
    </w:pPr>
    <w:rPr>
      <w:rFonts w:ascii="宋体" w:hAnsi="宋体"/>
      <w:color w:val="0000FF"/>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0" w:after="0" w:afterAutospacing="0"/>
      <w:ind w:left="0" w:right="0"/>
      <w:jc w:val="left"/>
    </w:pPr>
    <w:rPr>
      <w:kern w:val="0"/>
      <w:sz w:val="24"/>
      <w:lang w:val="en-US" w:eastAsia="zh-CN" w:bidi="ar"/>
    </w:rPr>
  </w:style>
  <w:style w:type="character" w:styleId="9">
    <w:name w:val="FollowedHyperlink"/>
    <w:basedOn w:val="8"/>
    <w:qFormat/>
    <w:uiPriority w:val="0"/>
    <w:rPr>
      <w:color w:val="000000"/>
      <w:sz w:val="16"/>
      <w:szCs w:val="16"/>
      <w:u w:val="none"/>
    </w:rPr>
  </w:style>
  <w:style w:type="character" w:styleId="10">
    <w:name w:val="Emphasis"/>
    <w:basedOn w:val="8"/>
    <w:qFormat/>
    <w:uiPriority w:val="0"/>
  </w:style>
  <w:style w:type="character" w:styleId="11">
    <w:name w:val="Hyperlink"/>
    <w:basedOn w:val="8"/>
    <w:qFormat/>
    <w:uiPriority w:val="0"/>
    <w:rPr>
      <w:color w:val="000000"/>
      <w:u w:val="none"/>
    </w:rPr>
  </w:style>
  <w:style w:type="character" w:customStyle="1" w:styleId="12">
    <w:name w:val="hover11"/>
    <w:basedOn w:val="8"/>
    <w:qFormat/>
    <w:uiPriority w:val="0"/>
  </w:style>
  <w:style w:type="character" w:customStyle="1" w:styleId="13">
    <w:name w:val="hover9"/>
    <w:basedOn w:val="8"/>
    <w:qFormat/>
    <w:uiPriority w:val="0"/>
  </w:style>
  <w:style w:type="paragraph" w:customStyle="1" w:styleId="14">
    <w:name w:val="Body text|1"/>
    <w:basedOn w:val="1"/>
    <w:qFormat/>
    <w:uiPriority w:val="0"/>
    <w:pPr>
      <w:widowControl w:val="0"/>
      <w:shd w:val="clear" w:color="auto" w:fill="auto"/>
      <w:spacing w:line="360" w:lineRule="auto"/>
    </w:pPr>
    <w:rPr>
      <w:rFonts w:ascii="宋体" w:hAnsi="宋体" w:eastAsia="宋体" w:cs="宋体"/>
      <w:sz w:val="20"/>
      <w:szCs w:val="20"/>
      <w:u w:val="none"/>
      <w:shd w:val="clear" w:color="auto" w:fill="auto"/>
      <w:lang w:val="zh-TW" w:eastAsia="zh-TW" w:bidi="zh-TW"/>
    </w:rPr>
  </w:style>
  <w:style w:type="paragraph" w:customStyle="1" w:styleId="15">
    <w:name w:val="正文1"/>
    <w:qFormat/>
    <w:uiPriority w:val="0"/>
    <w:pPr>
      <w:framePr w:wrap="around" w:vAnchor="margin" w:hAnchor="text" w:yAlign="top"/>
      <w:widowControl w:val="0"/>
      <w:jc w:val="both"/>
    </w:pPr>
    <w:rPr>
      <w:rFonts w:hint="eastAsia" w:ascii="Arial Unicode MS" w:hAnsi="Arial Unicode MS" w:eastAsia="Arial Unicode MS" w:cs="Arial Unicode MS"/>
      <w:color w:val="000000"/>
      <w:kern w:val="2"/>
      <w:sz w:val="21"/>
      <w:szCs w:val="21"/>
      <w:lang w:val="en-US" w:eastAsia="zh-CN" w:bidi="ar-SA"/>
    </w:rPr>
  </w:style>
  <w:style w:type="character" w:customStyle="1" w:styleId="16">
    <w:name w:val="页码1"/>
    <w:qFormat/>
    <w:uiPriority w:val="0"/>
    <w:rPr>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3496</Words>
  <Characters>3583</Characters>
  <Lines>0</Lines>
  <Paragraphs>0</Paragraphs>
  <TotalTime>0</TotalTime>
  <ScaleCrop>false</ScaleCrop>
  <LinksUpToDate>false</LinksUpToDate>
  <CharactersWithSpaces>3597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2021-06-20T14:07:00Z</dcterms:created>
  <dc:creator>Administrator</dc:creator>
  <cp:lastModifiedBy>小逗</cp:lastModifiedBy>
  <dcterms:modified xsi:type="dcterms:W3CDTF">2025-02-27T01:46:48Z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E65DB7A749044DE5B3C0FE39C4AC09D9</vt:lpwstr>
  </property>
  <property fmtid="{D5CDD505-2E9C-101B-9397-08002B2CF9AE}" pid="4" name="KSOTemplateDocerSaveRecord">
    <vt:lpwstr>eyJoZGlkIjoiODViY2JkMjU3NGYzZTEwMzZmMGFkZWViYmNkYWU3NDIiLCJ1c2VySWQiOiIxNTkyMTg2NzA0In0=</vt:lpwstr>
  </property>
</Properties>
</file>