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color w:val="000000"/>
          <w:sz w:val="32"/>
        </w:rPr>
      </w:pPr>
      <w:bookmarkStart w:id="0" w:name="_Toc140866273"/>
      <w:r>
        <w:rPr>
          <w:rFonts w:hint="eastAsia" w:ascii="宋体"/>
          <w:color w:val="000000"/>
          <w:sz w:val="32"/>
        </w:rPr>
        <w:t>黑龙江省高等教育自学考试</w:t>
      </w:r>
    </w:p>
    <w:p>
      <w:pPr>
        <w:spacing w:line="360" w:lineRule="auto"/>
        <w:jc w:val="center"/>
        <w:rPr>
          <w:rFonts w:ascii="宋体"/>
          <w:color w:val="000000"/>
          <w:sz w:val="32"/>
        </w:rPr>
      </w:pPr>
      <w:r>
        <w:rPr>
          <w:rFonts w:hint="eastAsia" w:ascii="宋体"/>
          <w:color w:val="000000"/>
          <w:sz w:val="32"/>
        </w:rPr>
        <w:t>法学(</w:t>
      </w:r>
      <w:r>
        <w:rPr>
          <w:rFonts w:ascii="宋体"/>
          <w:color w:val="000000"/>
          <w:sz w:val="32"/>
        </w:rPr>
        <w:t>030101</w:t>
      </w:r>
      <w:r>
        <w:rPr>
          <w:rFonts w:hint="eastAsia" w:ascii="宋体"/>
          <w:color w:val="000000"/>
          <w:sz w:val="32"/>
        </w:rPr>
        <w:t>K)专业（专升本）</w:t>
      </w: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360" w:lineRule="auto"/>
        <w:jc w:val="center"/>
        <w:rPr>
          <w:rFonts w:ascii="宋体"/>
          <w:b/>
          <w:color w:val="000000"/>
          <w:sz w:val="52"/>
        </w:rPr>
      </w:pPr>
      <w:r>
        <w:rPr>
          <w:rFonts w:hint="eastAsia" w:ascii="宋体"/>
          <w:b/>
          <w:color w:val="000000"/>
          <w:sz w:val="52"/>
        </w:rPr>
        <w:t>侵权责任法</w:t>
      </w:r>
    </w:p>
    <w:p>
      <w:pPr>
        <w:spacing w:after="100" w:afterAutospacing="1" w:line="360" w:lineRule="auto"/>
        <w:jc w:val="center"/>
        <w:rPr>
          <w:rFonts w:ascii="宋体"/>
          <w:b/>
          <w:color w:val="000000"/>
          <w:sz w:val="32"/>
        </w:rPr>
      </w:pPr>
      <w:r>
        <w:rPr>
          <w:rFonts w:hint="eastAsia" w:ascii="宋体"/>
          <w:color w:val="000000"/>
          <w:sz w:val="32"/>
        </w:rPr>
        <w:t>(课程代码</w:t>
      </w:r>
      <w:r>
        <w:rPr>
          <w:rFonts w:ascii="宋体"/>
          <w:color w:val="000000"/>
          <w:sz w:val="32"/>
        </w:rPr>
        <w:t xml:space="preserve"> 14081)</w:t>
      </w: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360" w:lineRule="auto"/>
        <w:jc w:val="center"/>
        <w:rPr>
          <w:rFonts w:ascii="宋体"/>
          <w:color w:val="000000"/>
          <w:sz w:val="32"/>
        </w:rPr>
      </w:pPr>
      <w:r>
        <w:rPr>
          <w:rFonts w:hint="eastAsia" w:ascii="宋体"/>
          <w:color w:val="000000"/>
          <w:sz w:val="32"/>
        </w:rPr>
        <w:t>黑龙江省高等教育自学考试委员会办公室</w:t>
      </w:r>
    </w:p>
    <w:p>
      <w:pPr>
        <w:spacing w:line="360" w:lineRule="auto"/>
        <w:jc w:val="center"/>
        <w:rPr>
          <w:rFonts w:ascii="宋体"/>
          <w:color w:val="000000"/>
          <w:sz w:val="32"/>
        </w:rPr>
      </w:pPr>
      <w:r>
        <w:rPr>
          <w:rFonts w:hint="eastAsia" w:ascii="宋体"/>
          <w:color w:val="000000"/>
          <w:sz w:val="32"/>
        </w:rPr>
        <w:t>二○二三年十一月</w:t>
      </w:r>
    </w:p>
    <w:p>
      <w:pPr>
        <w:spacing w:line="360" w:lineRule="auto"/>
        <w:jc w:val="center"/>
        <w:rPr>
          <w:rFonts w:ascii="宋体"/>
          <w:color w:val="000000"/>
          <w:sz w:val="32"/>
        </w:rPr>
      </w:pPr>
    </w:p>
    <w:p>
      <w:pPr>
        <w:spacing w:line="360" w:lineRule="auto"/>
        <w:jc w:val="center"/>
        <w:rPr>
          <w:rFonts w:ascii="宋体"/>
          <w:color w:val="000000"/>
          <w:sz w:val="32"/>
        </w:rPr>
      </w:pPr>
    </w:p>
    <w:p>
      <w:pPr>
        <w:spacing w:line="360" w:lineRule="auto"/>
        <w:jc w:val="center"/>
        <w:rPr>
          <w:rFonts w:ascii="宋体"/>
          <w:color w:val="000000"/>
          <w:sz w:val="32"/>
        </w:rPr>
      </w:pPr>
    </w:p>
    <w:p>
      <w:pPr>
        <w:spacing w:line="360" w:lineRule="auto"/>
        <w:jc w:val="center"/>
      </w:pPr>
      <w:r>
        <w:rPr>
          <w:rFonts w:hint="eastAsia"/>
          <w:sz w:val="28"/>
          <w:szCs w:val="28"/>
        </w:rPr>
        <w:t>《侵权责任法》</w:t>
      </w:r>
      <w:r>
        <w:rPr>
          <w:rFonts w:hint="eastAsia"/>
          <w:sz w:val="28"/>
          <w:szCs w:val="28"/>
          <w:lang w:eastAsia="zh-CN"/>
        </w:rPr>
        <w:t>考试</w:t>
      </w:r>
      <w:r>
        <w:rPr>
          <w:rFonts w:hint="eastAsia"/>
          <w:sz w:val="28"/>
          <w:szCs w:val="28"/>
        </w:rPr>
        <w:t>大纲</w:t>
      </w:r>
      <w:bookmarkEnd w:id="0"/>
    </w:p>
    <w:p>
      <w:pPr>
        <w:pStyle w:val="3"/>
        <w:rPr>
          <w:b/>
        </w:rPr>
      </w:pPr>
      <w:r>
        <w:rPr>
          <w:rFonts w:hint="eastAsia"/>
        </w:rPr>
        <w:t>一、课程基本信息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2994"/>
        <w:gridCol w:w="1413"/>
        <w:gridCol w:w="2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371" w:type="dxa"/>
            <w:vAlign w:val="center"/>
          </w:tcPr>
          <w:p>
            <w:pPr>
              <w:spacing w:line="380" w:lineRule="exact"/>
              <w:jc w:val="center"/>
              <w:rPr>
                <w:rFonts w:ascii="宋体" w:hAnsi="宋体"/>
                <w:b/>
                <w:szCs w:val="21"/>
                <w:highlight w:val="none"/>
              </w:rPr>
            </w:pPr>
            <w:r>
              <w:rPr>
                <w:rFonts w:hint="eastAsia" w:ascii="宋体" w:hAnsi="宋体"/>
                <w:spacing w:val="30"/>
                <w:szCs w:val="21"/>
                <w:highlight w:val="none"/>
              </w:rPr>
              <w:t>主考学校</w:t>
            </w:r>
          </w:p>
        </w:tc>
        <w:tc>
          <w:tcPr>
            <w:tcW w:w="2994" w:type="dxa"/>
            <w:vAlign w:val="center"/>
          </w:tcPr>
          <w:p>
            <w:pPr>
              <w:spacing w:line="380" w:lineRule="exact"/>
              <w:jc w:val="center"/>
              <w:rPr>
                <w:rFonts w:ascii="宋体" w:hAnsi="宋体"/>
                <w:b/>
                <w:szCs w:val="21"/>
                <w:highlight w:val="none"/>
              </w:rPr>
            </w:pPr>
            <w:r>
              <w:rPr>
                <w:rFonts w:hint="eastAsia" w:ascii="宋体" w:hAnsi="宋体"/>
                <w:b/>
                <w:szCs w:val="21"/>
                <w:highlight w:val="none"/>
              </w:rPr>
              <w:t>黑龙江大学</w:t>
            </w:r>
          </w:p>
        </w:tc>
        <w:tc>
          <w:tcPr>
            <w:tcW w:w="1413" w:type="dxa"/>
            <w:vAlign w:val="center"/>
          </w:tcPr>
          <w:p>
            <w:pPr>
              <w:spacing w:line="380" w:lineRule="exact"/>
              <w:jc w:val="center"/>
              <w:rPr>
                <w:rFonts w:ascii="宋体" w:hAnsi="宋体"/>
                <w:b/>
                <w:szCs w:val="21"/>
                <w:highlight w:val="none"/>
              </w:rPr>
            </w:pPr>
            <w:r>
              <w:rPr>
                <w:rFonts w:hint="eastAsia" w:ascii="宋体" w:hAnsi="宋体"/>
                <w:spacing w:val="30"/>
                <w:szCs w:val="21"/>
                <w:highlight w:val="none"/>
              </w:rPr>
              <w:t>专业</w:t>
            </w:r>
          </w:p>
        </w:tc>
        <w:tc>
          <w:tcPr>
            <w:tcW w:w="2744" w:type="dxa"/>
            <w:vAlign w:val="center"/>
          </w:tcPr>
          <w:p>
            <w:pPr>
              <w:spacing w:line="380" w:lineRule="exact"/>
              <w:jc w:val="center"/>
              <w:rPr>
                <w:rFonts w:ascii="宋体" w:hAnsi="宋体"/>
                <w:b/>
                <w:szCs w:val="21"/>
                <w:highlight w:val="none"/>
              </w:rPr>
            </w:pPr>
            <w:r>
              <w:rPr>
                <w:rFonts w:hint="eastAsia" w:ascii="宋体" w:hAnsi="宋体"/>
                <w:b/>
                <w:szCs w:val="21"/>
                <w:highlight w:val="none"/>
              </w:rPr>
              <w:t>法学（专升本）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371" w:type="dxa"/>
            <w:vAlign w:val="center"/>
          </w:tcPr>
          <w:p>
            <w:pPr>
              <w:spacing w:line="380" w:lineRule="exact"/>
              <w:jc w:val="center"/>
              <w:rPr>
                <w:rFonts w:ascii="宋体" w:hAnsi="宋体"/>
                <w:spacing w:val="30"/>
                <w:szCs w:val="21"/>
              </w:rPr>
            </w:pPr>
            <w:r>
              <w:rPr>
                <w:rFonts w:hint="eastAsia" w:ascii="宋体" w:hAnsi="宋体"/>
                <w:spacing w:val="30"/>
                <w:szCs w:val="21"/>
              </w:rPr>
              <w:t>课程名称</w:t>
            </w:r>
          </w:p>
        </w:tc>
        <w:tc>
          <w:tcPr>
            <w:tcW w:w="2994" w:type="dxa"/>
            <w:vAlign w:val="center"/>
          </w:tcPr>
          <w:p>
            <w:pPr>
              <w:spacing w:line="380" w:lineRule="exact"/>
              <w:jc w:val="center"/>
              <w:rPr>
                <w:rFonts w:ascii="宋体" w:hAnsi="宋体"/>
                <w:b/>
                <w:szCs w:val="21"/>
              </w:rPr>
            </w:pPr>
            <w:r>
              <w:rPr>
                <w:rFonts w:hint="eastAsia" w:ascii="宋体" w:hAnsi="宋体"/>
                <w:b/>
                <w:szCs w:val="21"/>
              </w:rPr>
              <w:t>侵权责任法</w:t>
            </w:r>
          </w:p>
        </w:tc>
        <w:tc>
          <w:tcPr>
            <w:tcW w:w="4157" w:type="dxa"/>
            <w:gridSpan w:val="2"/>
            <w:vAlign w:val="center"/>
          </w:tcPr>
          <w:p>
            <w:pPr>
              <w:spacing w:line="380" w:lineRule="exact"/>
              <w:jc w:val="center"/>
              <w:rPr>
                <w:rFonts w:ascii="宋体" w:hAnsi="宋体"/>
                <w:b/>
                <w:szCs w:val="21"/>
              </w:rPr>
            </w:pPr>
            <w:r>
              <w:rPr>
                <w:rFonts w:hint="eastAsia" w:ascii="宋体" w:hAnsi="宋体"/>
                <w:b/>
                <w:szCs w:val="21"/>
              </w:rPr>
              <w:t>T</w:t>
            </w:r>
            <w:r>
              <w:rPr>
                <w:rFonts w:ascii="宋体" w:hAnsi="宋体"/>
                <w:b/>
                <w:szCs w:val="21"/>
              </w:rPr>
              <w:t xml:space="preserve">ort </w:t>
            </w:r>
            <w:r>
              <w:rPr>
                <w:rFonts w:hint="eastAsia" w:ascii="宋体" w:hAnsi="宋体"/>
                <w:b/>
                <w:szCs w:val="21"/>
              </w:rPr>
              <w:t>L</w:t>
            </w:r>
            <w:r>
              <w:rPr>
                <w:rFonts w:ascii="宋体" w:hAnsi="宋体"/>
                <w:b/>
                <w:szCs w:val="21"/>
              </w:rPr>
              <w:t>aw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dxa"/>
            <w:vAlign w:val="center"/>
          </w:tcPr>
          <w:p>
            <w:pPr>
              <w:spacing w:line="380" w:lineRule="exact"/>
              <w:jc w:val="center"/>
              <w:rPr>
                <w:rFonts w:ascii="宋体" w:hAnsi="宋体"/>
                <w:spacing w:val="30"/>
                <w:szCs w:val="21"/>
              </w:rPr>
            </w:pPr>
            <w:r>
              <w:rPr>
                <w:rFonts w:hint="eastAsia" w:ascii="宋体" w:hAnsi="宋体"/>
                <w:spacing w:val="30"/>
                <w:szCs w:val="21"/>
              </w:rPr>
              <w:t>参考教材</w:t>
            </w:r>
          </w:p>
        </w:tc>
        <w:tc>
          <w:tcPr>
            <w:tcW w:w="7151" w:type="dxa"/>
            <w:gridSpan w:val="3"/>
            <w:vAlign w:val="center"/>
          </w:tcPr>
          <w:p>
            <w:pPr>
              <w:spacing w:line="380" w:lineRule="exact"/>
              <w:jc w:val="center"/>
              <w:rPr>
                <w:rFonts w:ascii="宋体" w:hAnsi="宋体"/>
                <w:b/>
                <w:szCs w:val="21"/>
              </w:rPr>
            </w:pPr>
            <w:r>
              <w:rPr>
                <w:rFonts w:hint="eastAsia" w:ascii="宋体" w:hAnsi="宋体"/>
                <w:b/>
                <w:szCs w:val="21"/>
              </w:rPr>
              <w:t>《侵权责任法》（第三版） ，程啸，法律出版社2</w:t>
            </w:r>
            <w:r>
              <w:rPr>
                <w:rFonts w:ascii="宋体" w:hAnsi="宋体"/>
                <w:b/>
                <w:szCs w:val="21"/>
              </w:rPr>
              <w:t>021</w:t>
            </w:r>
            <w:r>
              <w:rPr>
                <w:rFonts w:hint="eastAsia" w:ascii="宋体" w:hAnsi="宋体"/>
                <w:b/>
                <w:szCs w:val="21"/>
              </w:rPr>
              <w:t>年</w:t>
            </w:r>
          </w:p>
        </w:tc>
      </w:tr>
    </w:tbl>
    <w:p>
      <w:pPr>
        <w:pStyle w:val="3"/>
      </w:pPr>
      <w:r>
        <w:rPr>
          <w:rFonts w:hint="eastAsia"/>
        </w:rPr>
        <w:t>二、课程简介</w:t>
      </w:r>
    </w:p>
    <w:p>
      <w:pPr>
        <w:spacing w:line="360" w:lineRule="auto"/>
        <w:ind w:firstLine="420" w:firstLineChars="200"/>
      </w:pPr>
      <w:r>
        <w:rPr>
          <w:rFonts w:hint="eastAsia"/>
        </w:rPr>
        <w:t>侵权责任法分为广义的侵权责任法和狭义的侵权责任法，广义的侵权责任法包括侵权责任基本法（《中华人民共和国民法典</w:t>
      </w:r>
      <w:bookmarkStart w:id="1" w:name="_GoBack"/>
      <w:bookmarkEnd w:id="1"/>
      <w:r>
        <w:rPr>
          <w:rFonts w:hint="eastAsia"/>
        </w:rPr>
        <w:t>》侵权责任编和《民法典》其他各编相关规范）和侵权责任特别法（包括《产品质量法》、《消费者权益保护法》、《食品安全法》等），狭义的侵权责任法仅指《民法典》有关侵权责任的相关规定。本课程为狭义的侵权责任法，现主要体现于《中华人民共和国民法典》第七编“侵权责任”，它是研究各种类型的侵权行为构成要件及其法理依据为主要内容的科学。侵权责任法大致可分为总则和分则两部分，亦可分为一般侵权责任、特殊侵权责任。总则一般侵权行为的规范模式与构成要件为主要内容，分则以各种特殊类型的侵权责任为主要内容。作为法学专业的一门专业基础课，侵权责任法重在探究各种侵权责任的归责原则，一般侵权责任的构成要件，侵权行为的界定、损害结果的认定、侵权行为与损害结果因果关系的判断、侵权行为人主观过错的类型，特殊类型侵权责任构成要件和举证责任是的特殊之处以及《民法典》新规定的公平责任原则、生态破坏责任的适用与限制、自甘冒险、好意搭乘，建筑物物件致损等。</w:t>
      </w:r>
    </w:p>
    <w:p>
      <w:pPr>
        <w:spacing w:line="360" w:lineRule="auto"/>
        <w:rPr>
          <w:rFonts w:ascii="黑体" w:hAnsi="黑体" w:eastAsia="黑体"/>
          <w:sz w:val="30"/>
          <w:szCs w:val="30"/>
        </w:rPr>
      </w:pPr>
      <w:r>
        <w:rPr>
          <w:rFonts w:hint="eastAsia" w:ascii="黑体" w:hAnsi="黑体" w:eastAsia="黑体"/>
          <w:sz w:val="30"/>
          <w:szCs w:val="30"/>
        </w:rPr>
        <w:t>三、课程目标</w:t>
      </w:r>
    </w:p>
    <w:p>
      <w:pPr>
        <w:spacing w:line="360" w:lineRule="auto"/>
        <w:ind w:firstLine="420" w:firstLineChars="200"/>
      </w:pPr>
      <w:r>
        <w:rPr>
          <w:rFonts w:hint="eastAsia"/>
        </w:rPr>
        <w:t>《侵权责任法》是法学专业的选修课，本课程</w:t>
      </w:r>
      <w:r>
        <w:rPr>
          <w:rFonts w:hint="eastAsia"/>
          <w:lang w:eastAsia="zh-CN"/>
        </w:rPr>
        <w:t>考试</w:t>
      </w:r>
      <w:r>
        <w:rPr>
          <w:rFonts w:hint="eastAsia"/>
        </w:rPr>
        <w:t>的基本任务和目标是使学生通过本课程的学习，掌握一般侵权责任的构成要件，了解一般侵权行为的特征、判断侵权行为与损害结果是否存在因果关系、侵权行为人不同主观过错对侵权责任承担的影响、侵权责任的承担方式与类型；特殊侵权责任与一般侵权责任相比其特殊之处以及相关法理依据。通过本课程的学习，学生在获得学分的同时，将达成以下课程目标：</w:t>
      </w:r>
    </w:p>
    <w:p>
      <w:pPr>
        <w:spacing w:line="360" w:lineRule="auto"/>
        <w:ind w:firstLine="200"/>
      </w:pPr>
      <w:r>
        <w:rPr>
          <w:rFonts w:hint="eastAsia"/>
        </w:rPr>
        <w:t>1.能够掌握一般侵权责任的构成要件，熟练运用相关知识判断某一行为是否构成侵权行为，是否需要承担侵权责任以及承担何种类型的侵权责任。</w:t>
      </w:r>
    </w:p>
    <w:p>
      <w:pPr>
        <w:spacing w:line="360" w:lineRule="auto"/>
        <w:ind w:firstLine="200"/>
      </w:pPr>
      <w:r>
        <w:t>2.</w:t>
      </w:r>
      <w:r>
        <w:rPr>
          <w:rFonts w:hint="eastAsia"/>
        </w:rPr>
        <w:t>能够把握特殊类型侵权责任的类型，以及其在构成要件、举证责任等方面的特殊之处，了解其背后的法理。</w:t>
      </w:r>
    </w:p>
    <w:p>
      <w:pPr>
        <w:spacing w:line="360" w:lineRule="auto"/>
        <w:ind w:firstLine="200"/>
      </w:pPr>
      <w:r>
        <w:rPr>
          <w:rFonts w:hint="eastAsia"/>
        </w:rPr>
        <w:t>3</w:t>
      </w:r>
      <w:r>
        <w:t>.</w:t>
      </w:r>
      <w:r>
        <w:rPr>
          <w:rFonts w:hint="eastAsia"/>
        </w:rPr>
        <w:t>能够熟练运用所学侵权责任法相关知识判断各种类型侵权责任，思考特殊类型侵权责任在社会实践中的意义，对如何进一步完善侵权责任提出自己的见解。</w:t>
      </w:r>
    </w:p>
    <w:p>
      <w:pPr>
        <w:spacing w:line="360" w:lineRule="auto"/>
      </w:pPr>
      <w:r>
        <w:rPr>
          <w:rFonts w:hint="eastAsia"/>
        </w:rPr>
        <w:t>【育人目标】：</w:t>
      </w:r>
    </w:p>
    <w:p>
      <w:pPr>
        <w:spacing w:line="360" w:lineRule="auto"/>
      </w:pPr>
      <w:r>
        <w:rPr>
          <w:rFonts w:hint="eastAsia"/>
        </w:rPr>
        <w:t xml:space="preserve"> </w:t>
      </w:r>
      <w:r>
        <w:t xml:space="preserve">  </w:t>
      </w:r>
      <w:r>
        <w:rPr>
          <w:rFonts w:hint="eastAsia"/>
        </w:rPr>
        <w:t>以坚持中国特色社会主义为根本，通过学习各种类型的侵权责任，以及其背后的法理和相关案例，丰富学生的法学知识、培养学生法学思维，为完善我国社会主义法律体系和法治建设做出贡献。</w:t>
      </w:r>
    </w:p>
    <w:p>
      <w:pPr>
        <w:pStyle w:val="3"/>
        <w:rPr>
          <w:b/>
        </w:rPr>
      </w:pPr>
      <w:r>
        <w:rPr>
          <w:rFonts w:hint="eastAsia"/>
        </w:rPr>
        <w:t>四、</w:t>
      </w:r>
      <w:r>
        <w:rPr>
          <w:rFonts w:hint="eastAsia"/>
          <w:b/>
          <w:lang w:eastAsia="zh-CN"/>
        </w:rPr>
        <w:t>考试</w:t>
      </w:r>
      <w:r>
        <w:rPr>
          <w:rFonts w:hint="eastAsia"/>
          <w:b/>
        </w:rPr>
        <w:t>内容、重点难点</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第一编</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基础理论</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内容</w:t>
      </w:r>
      <w:r>
        <w:rPr>
          <w:rFonts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第一章  导论 </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（3）</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第二章 </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侵权行为</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（6</w:t>
      </w:r>
      <w:r>
        <w:rPr>
          <w:rFonts w:asciiTheme="minorEastAsia" w:hAnsiTheme="minorEastAsia" w:eastAsiaTheme="minorEastAsia"/>
          <w:color w:val="000000" w:themeColor="text1"/>
          <w14:textFill>
            <w14:solidFill>
              <w14:schemeClr w14:val="tx1"/>
            </w14:solidFill>
          </w14:textFill>
        </w:rPr>
        <w:t>7</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第三章 </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归责事由和归责原则</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（1</w:t>
      </w:r>
      <w:r>
        <w:rPr>
          <w:rFonts w:asciiTheme="minorEastAsia" w:hAnsiTheme="minorEastAsia" w:eastAsiaTheme="minorEastAsia"/>
          <w:color w:val="000000" w:themeColor="text1"/>
          <w14:textFill>
            <w14:solidFill>
              <w14:schemeClr w14:val="tx1"/>
            </w14:solidFill>
          </w14:textFill>
        </w:rPr>
        <w:t>06</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第四章 </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保护范围</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（1</w:t>
      </w:r>
      <w:r>
        <w:rPr>
          <w:rFonts w:asciiTheme="minorEastAsia" w:hAnsiTheme="minorEastAsia" w:eastAsiaTheme="minorEastAsia"/>
          <w:color w:val="000000" w:themeColor="text1"/>
          <w14:textFill>
            <w14:solidFill>
              <w14:schemeClr w14:val="tx1"/>
            </w14:solidFill>
          </w14:textFill>
        </w:rPr>
        <w:t>39</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1. </w:t>
      </w:r>
      <w:r>
        <w:rPr>
          <w:rFonts w:hint="eastAsia" w:asciiTheme="minorEastAsia" w:hAnsiTheme="minorEastAsia" w:eastAsiaTheme="minorEastAsia"/>
          <w:color w:val="000000" w:themeColor="text1"/>
          <w14:textFill>
            <w14:solidFill>
              <w14:schemeClr w14:val="tx1"/>
            </w14:solidFill>
          </w14:textFill>
        </w:rPr>
        <w:t>了解侵权责任法的发展，了解侵权责任法的立法模式、体系；</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2. </w:t>
      </w:r>
      <w:r>
        <w:rPr>
          <w:rFonts w:hint="eastAsia" w:asciiTheme="minorEastAsia" w:hAnsiTheme="minorEastAsia" w:eastAsiaTheme="minorEastAsia"/>
          <w:color w:val="000000" w:themeColor="text1"/>
          <w14:textFill>
            <w14:solidFill>
              <w14:schemeClr w14:val="tx1"/>
            </w14:solidFill>
          </w14:textFill>
        </w:rPr>
        <w:t>掌握各种归责原则的内容与特征以及其适用范围；</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3. </w:t>
      </w:r>
      <w:r>
        <w:rPr>
          <w:rFonts w:hint="eastAsia" w:asciiTheme="minorEastAsia" w:hAnsiTheme="minorEastAsia" w:eastAsiaTheme="minorEastAsia"/>
          <w:color w:val="000000" w:themeColor="text1"/>
          <w14:textFill>
            <w14:solidFill>
              <w14:schemeClr w14:val="tx1"/>
            </w14:solidFill>
          </w14:textFill>
        </w:rPr>
        <w:t>理解侵权行为的类型以及侵权行为与违约、无因管理、不当得利的关系；</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重点难点：</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 </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本编</w:t>
      </w: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重点：侵权责任中不同类型归责原则的特征与适用；</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本编</w:t>
      </w: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难点：侵权责任与违约、无因管理、不当得利的区分和界定标准；</w:t>
      </w:r>
    </w:p>
    <w:p>
      <w:pPr>
        <w:pStyle w:val="4"/>
        <w:spacing w:line="300" w:lineRule="auto"/>
        <w:ind w:firstLine="4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第二编 一般侵权责任</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内容：</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第五章 一般侵权行为的规范模式与构成要件</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（2</w:t>
      </w:r>
      <w:r>
        <w:rPr>
          <w:rFonts w:asciiTheme="minorEastAsia" w:hAnsiTheme="minorEastAsia" w:eastAsiaTheme="minorEastAsia"/>
          <w:color w:val="000000" w:themeColor="text1"/>
          <w14:textFill>
            <w14:solidFill>
              <w14:schemeClr w14:val="tx1"/>
            </w14:solidFill>
          </w14:textFill>
        </w:rPr>
        <w:t>05</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第六章 行为、损害民事权益与损害</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（2</w:t>
      </w:r>
      <w:r>
        <w:rPr>
          <w:rFonts w:asciiTheme="minorEastAsia" w:hAnsiTheme="minorEastAsia" w:eastAsiaTheme="minorEastAsia"/>
          <w:color w:val="000000" w:themeColor="text1"/>
          <w14:textFill>
            <w14:solidFill>
              <w14:schemeClr w14:val="tx1"/>
            </w14:solidFill>
          </w14:textFill>
        </w:rPr>
        <w:t>17</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第七章 因果关系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（2</w:t>
      </w:r>
      <w:r>
        <w:rPr>
          <w:rFonts w:asciiTheme="minorEastAsia" w:hAnsiTheme="minorEastAsia" w:eastAsiaTheme="minorEastAsia"/>
          <w:color w:val="000000" w:themeColor="text1"/>
          <w14:textFill>
            <w14:solidFill>
              <w14:schemeClr w14:val="tx1"/>
            </w14:solidFill>
          </w14:textFill>
        </w:rPr>
        <w:t>34</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第八章 违法性与过错</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（2</w:t>
      </w:r>
      <w:r>
        <w:rPr>
          <w:rFonts w:asciiTheme="minorEastAsia" w:hAnsiTheme="minorEastAsia" w:eastAsiaTheme="minorEastAsia"/>
          <w:color w:val="000000" w:themeColor="text1"/>
          <w14:textFill>
            <w14:solidFill>
              <w14:schemeClr w14:val="tx1"/>
            </w14:solidFill>
          </w14:textFill>
        </w:rPr>
        <w:t>71</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第九章 免责事由</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（3</w:t>
      </w:r>
      <w:r>
        <w:rPr>
          <w:rFonts w:asciiTheme="minorEastAsia" w:hAnsiTheme="minorEastAsia" w:eastAsiaTheme="minorEastAsia"/>
          <w:color w:val="000000" w:themeColor="text1"/>
          <w14:textFill>
            <w14:solidFill>
              <w14:schemeClr w14:val="tx1"/>
            </w14:solidFill>
          </w14:textFill>
        </w:rPr>
        <w:t>25</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了解一般侵权责任的规范模式，了解一般侵权行为构成要件的论断过程；</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掌握一般侵权行为的构成要件以及侵权行为与损害结果因果关系的判断，掌握免责事由的类型与构成要件；</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理解免责事由的意义及其必要性；</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重点难点：</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 </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本编</w:t>
      </w: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重点：一般侵权行为的构成要件，因果关系的判定以及免责事由的类型；</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 </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本编</w:t>
      </w: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难点：特殊因果关系的判断，侵害与损害的区别；</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第三编 </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多数人侵权责任</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内容：</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第十章 导论</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（3</w:t>
      </w:r>
      <w:r>
        <w:rPr>
          <w:rFonts w:asciiTheme="minorEastAsia" w:hAnsiTheme="minorEastAsia" w:eastAsiaTheme="minorEastAsia"/>
          <w:color w:val="000000" w:themeColor="text1"/>
          <w14:textFill>
            <w14:solidFill>
              <w14:schemeClr w14:val="tx1"/>
            </w14:solidFill>
          </w14:textFill>
        </w:rPr>
        <w:t>69</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第十一章 共同加害行为</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（3</w:t>
      </w:r>
      <w:r>
        <w:rPr>
          <w:rFonts w:asciiTheme="minorEastAsia" w:hAnsiTheme="minorEastAsia" w:eastAsiaTheme="minorEastAsia"/>
          <w:color w:val="000000" w:themeColor="text1"/>
          <w14:textFill>
            <w14:solidFill>
              <w14:schemeClr w14:val="tx1"/>
            </w14:solidFill>
          </w14:textFill>
        </w:rPr>
        <w:t>76</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第十二章 教唆帮助行为</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（3</w:t>
      </w:r>
      <w:r>
        <w:rPr>
          <w:rFonts w:asciiTheme="minorEastAsia" w:hAnsiTheme="minorEastAsia" w:eastAsiaTheme="minorEastAsia"/>
          <w:color w:val="000000" w:themeColor="text1"/>
          <w14:textFill>
            <w14:solidFill>
              <w14:schemeClr w14:val="tx1"/>
            </w14:solidFill>
          </w14:textFill>
        </w:rPr>
        <w:t>92</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第十三章 共同危险行为</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（3</w:t>
      </w:r>
      <w:r>
        <w:rPr>
          <w:rFonts w:asciiTheme="minorEastAsia" w:hAnsiTheme="minorEastAsia" w:eastAsiaTheme="minorEastAsia"/>
          <w:color w:val="000000" w:themeColor="text1"/>
          <w14:textFill>
            <w14:solidFill>
              <w14:schemeClr w14:val="tx1"/>
            </w14:solidFill>
          </w14:textFill>
        </w:rPr>
        <w:t>98</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第十四章 无意思联络的数人侵权</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（4</w:t>
      </w:r>
      <w:r>
        <w:rPr>
          <w:rFonts w:asciiTheme="minorEastAsia" w:hAnsiTheme="minorEastAsia" w:eastAsiaTheme="minorEastAsia"/>
          <w:color w:val="000000" w:themeColor="text1"/>
          <w14:textFill>
            <w14:solidFill>
              <w14:schemeClr w14:val="tx1"/>
            </w14:solidFill>
          </w14:textFill>
        </w:rPr>
        <w:t>14</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 了解我国关于数人侵权责任规范体系的演变，了解多数人侵权中因果关系的特殊性；</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2 </w:t>
      </w:r>
      <w:r>
        <w:rPr>
          <w:rFonts w:hint="eastAsia" w:asciiTheme="minorEastAsia" w:hAnsiTheme="minorEastAsia" w:eastAsiaTheme="minorEastAsia"/>
          <w:color w:val="000000" w:themeColor="text1"/>
          <w14:textFill>
            <w14:solidFill>
              <w14:schemeClr w14:val="tx1"/>
            </w14:solidFill>
          </w14:textFill>
        </w:rPr>
        <w:t>掌握共同加害行为、教唆帮助行为、共同危险行为、无意思联络的数人侵权的构成要件，以及相应的法律后果；</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理解多数人侵权行为的特殊之处，不同类型数人侵权侵权责任划分的法理依据；</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重点难点：</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本编</w:t>
      </w: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重点：不同类型数人侵权的区别、构成要件及各自法律后果；</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本编</w:t>
      </w: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难点：多数人侵权中因果关系的认定，侵权责任的划分、承担标准；</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第四编  特殊侵权责任</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内容：</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第十五章 监护人责任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（4</w:t>
      </w:r>
      <w:r>
        <w:rPr>
          <w:rFonts w:asciiTheme="minorEastAsia" w:hAnsiTheme="minorEastAsia" w:eastAsiaTheme="minorEastAsia"/>
          <w:color w:val="000000" w:themeColor="text1"/>
          <w14:textFill>
            <w14:solidFill>
              <w14:schemeClr w14:val="tx1"/>
            </w14:solidFill>
          </w14:textFill>
        </w:rPr>
        <w:t>27</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第十六章 用人者责任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（4</w:t>
      </w:r>
      <w:r>
        <w:rPr>
          <w:rFonts w:asciiTheme="minorEastAsia" w:hAnsiTheme="minorEastAsia" w:eastAsiaTheme="minorEastAsia"/>
          <w:color w:val="000000" w:themeColor="text1"/>
          <w14:textFill>
            <w14:solidFill>
              <w14:schemeClr w14:val="tx1"/>
            </w14:solidFill>
          </w14:textFill>
        </w:rPr>
        <w:t>43</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第十七章 网络侵权责任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（4</w:t>
      </w:r>
      <w:r>
        <w:rPr>
          <w:rFonts w:asciiTheme="minorEastAsia" w:hAnsiTheme="minorEastAsia" w:eastAsiaTheme="minorEastAsia"/>
          <w:color w:val="000000" w:themeColor="text1"/>
          <w14:textFill>
            <w14:solidFill>
              <w14:schemeClr w14:val="tx1"/>
            </w14:solidFill>
          </w14:textFill>
        </w:rPr>
        <w:t>89</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第十八章 违反安全保障义务的侵权责任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（5</w:t>
      </w:r>
      <w:r>
        <w:rPr>
          <w:rFonts w:asciiTheme="minorEastAsia" w:hAnsiTheme="minorEastAsia" w:eastAsiaTheme="minorEastAsia"/>
          <w:color w:val="000000" w:themeColor="text1"/>
          <w14:textFill>
            <w14:solidFill>
              <w14:schemeClr w14:val="tx1"/>
            </w14:solidFill>
          </w14:textFill>
        </w:rPr>
        <w:t>18</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第十九章 教育机构侵权责任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（5</w:t>
      </w:r>
      <w:r>
        <w:rPr>
          <w:rFonts w:asciiTheme="minorEastAsia" w:hAnsiTheme="minorEastAsia" w:eastAsiaTheme="minorEastAsia"/>
          <w:color w:val="000000" w:themeColor="text1"/>
          <w14:textFill>
            <w14:solidFill>
              <w14:schemeClr w14:val="tx1"/>
            </w14:solidFill>
          </w14:textFill>
        </w:rPr>
        <w:t>35</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第二十章 产品责任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（5</w:t>
      </w:r>
      <w:r>
        <w:rPr>
          <w:rFonts w:asciiTheme="minorEastAsia" w:hAnsiTheme="minorEastAsia" w:eastAsiaTheme="minorEastAsia"/>
          <w:color w:val="000000" w:themeColor="text1"/>
          <w14:textFill>
            <w14:solidFill>
              <w14:schemeClr w14:val="tx1"/>
            </w14:solidFill>
          </w14:textFill>
        </w:rPr>
        <w:t>46</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第二十一章 机动车交通事故责任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（5</w:t>
      </w:r>
      <w:r>
        <w:rPr>
          <w:rFonts w:asciiTheme="minorEastAsia" w:hAnsiTheme="minorEastAsia" w:eastAsiaTheme="minorEastAsia"/>
          <w:color w:val="000000" w:themeColor="text1"/>
          <w14:textFill>
            <w14:solidFill>
              <w14:schemeClr w14:val="tx1"/>
            </w14:solidFill>
          </w14:textFill>
        </w:rPr>
        <w:t>88</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第二十二章 医疗损害责任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（6</w:t>
      </w:r>
      <w:r>
        <w:rPr>
          <w:rFonts w:asciiTheme="minorEastAsia" w:hAnsiTheme="minorEastAsia" w:eastAsiaTheme="minorEastAsia"/>
          <w:color w:val="000000" w:themeColor="text1"/>
          <w14:textFill>
            <w14:solidFill>
              <w14:schemeClr w14:val="tx1"/>
            </w14:solidFill>
          </w14:textFill>
        </w:rPr>
        <w:t>32</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第二十三章 环境污染与生态破坏责任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（6</w:t>
      </w:r>
      <w:r>
        <w:rPr>
          <w:rFonts w:asciiTheme="minorEastAsia" w:hAnsiTheme="minorEastAsia" w:eastAsiaTheme="minorEastAsia"/>
          <w:color w:val="000000" w:themeColor="text1"/>
          <w14:textFill>
            <w14:solidFill>
              <w14:schemeClr w14:val="tx1"/>
            </w14:solidFill>
          </w14:textFill>
        </w:rPr>
        <w:t>52</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第二十四章 高度危险责任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 xml:space="preserve"> （6</w:t>
      </w:r>
      <w:r>
        <w:rPr>
          <w:rFonts w:asciiTheme="minorEastAsia" w:hAnsiTheme="minorEastAsia" w:eastAsiaTheme="minorEastAsia"/>
          <w:color w:val="000000" w:themeColor="text1"/>
          <w14:textFill>
            <w14:solidFill>
              <w14:schemeClr w14:val="tx1"/>
            </w14:solidFill>
          </w14:textFill>
        </w:rPr>
        <w:t>70</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第二十五章 饲养动物损害责任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（7</w:t>
      </w:r>
      <w:r>
        <w:rPr>
          <w:rFonts w:asciiTheme="minorEastAsia" w:hAnsiTheme="minorEastAsia" w:eastAsiaTheme="minorEastAsia"/>
          <w:color w:val="000000" w:themeColor="text1"/>
          <w14:textFill>
            <w14:solidFill>
              <w14:schemeClr w14:val="tx1"/>
            </w14:solidFill>
          </w14:textFill>
        </w:rPr>
        <w:t>05</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第二十六章 建筑物和物件损害责任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（7</w:t>
      </w:r>
      <w:r>
        <w:rPr>
          <w:rFonts w:asciiTheme="minorEastAsia" w:hAnsiTheme="minorEastAsia" w:eastAsiaTheme="minorEastAsia"/>
          <w:color w:val="000000" w:themeColor="text1"/>
          <w14:textFill>
            <w14:solidFill>
              <w14:schemeClr w14:val="tx1"/>
            </w14:solidFill>
          </w14:textFill>
        </w:rPr>
        <w:t>18</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 了解特殊侵权责任的类型，了解不同类型特殊侵权责任的区别；</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r>
        <w:rPr>
          <w:rFonts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14:textFill>
            <w14:solidFill>
              <w14:schemeClr w14:val="tx1"/>
            </w14:solidFill>
          </w14:textFill>
        </w:rPr>
        <w:t xml:space="preserve"> 掌握各种类型特殊侵权责任在构成要件、举证责任、责任承担等方面的特殊之处，掌握公平责任原则的适用条件与限制；</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了解《民法典》特殊侵权责任部分较《侵权责任法》中的不同与进步之处；</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重点难点：</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本编</w:t>
      </w: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重点：各种类型特殊侵权责任较一般侵权责任的不同之处，公平责任适用的限制，有关责任主体的特殊规定，新增有关定作人的规定，生态破坏责任的特殊规定及责任承担；</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本编</w:t>
      </w: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难点：有关机动车交通事故责任中责任人的认定，网络侵权中的免责规定，公平责任的适用范围；</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第五编 侵权责任的承担</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内容：</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第二十七章 导论</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（7</w:t>
      </w:r>
      <w:r>
        <w:rPr>
          <w:rFonts w:asciiTheme="minorEastAsia" w:hAnsiTheme="minorEastAsia" w:eastAsiaTheme="minorEastAsia"/>
          <w:color w:val="000000" w:themeColor="text1"/>
          <w14:textFill>
            <w14:solidFill>
              <w14:schemeClr w14:val="tx1"/>
            </w14:solidFill>
          </w14:textFill>
        </w:rPr>
        <w:t>43</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第二十八章 损害赔偿责任</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（7</w:t>
      </w:r>
      <w:r>
        <w:rPr>
          <w:rFonts w:asciiTheme="minorEastAsia" w:hAnsiTheme="minorEastAsia" w:eastAsiaTheme="minorEastAsia"/>
          <w:color w:val="000000" w:themeColor="text1"/>
          <w14:textFill>
            <w14:solidFill>
              <w14:schemeClr w14:val="tx1"/>
            </w14:solidFill>
          </w14:textFill>
        </w:rPr>
        <w:t>58</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第二十九章 财产损害赔偿</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（8</w:t>
      </w:r>
      <w:r>
        <w:rPr>
          <w:rFonts w:asciiTheme="minorEastAsia" w:hAnsiTheme="minorEastAsia" w:eastAsiaTheme="minorEastAsia"/>
          <w:color w:val="000000" w:themeColor="text1"/>
          <w14:textFill>
            <w14:solidFill>
              <w14:schemeClr w14:val="tx1"/>
            </w14:solidFill>
          </w14:textFill>
        </w:rPr>
        <w:t>19</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第三十章 精神损害赔偿</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（8</w:t>
      </w:r>
      <w:r>
        <w:rPr>
          <w:rFonts w:asciiTheme="minorEastAsia" w:hAnsiTheme="minorEastAsia" w:eastAsiaTheme="minorEastAsia"/>
          <w:color w:val="000000" w:themeColor="text1"/>
          <w14:textFill>
            <w14:solidFill>
              <w14:schemeClr w14:val="tx1"/>
            </w14:solidFill>
          </w14:textFill>
        </w:rPr>
        <w:t>54</w:t>
      </w:r>
      <w:r>
        <w:rPr>
          <w:rFonts w:hint="eastAsia" w:asciiTheme="minorEastAsia" w:hAnsiTheme="minorEastAsia" w:eastAsiaTheme="minorEastAsia"/>
          <w:color w:val="000000" w:themeColor="text1"/>
          <w14:textFill>
            <w14:solidFill>
              <w14:schemeClr w14:val="tx1"/>
            </w14:solidFill>
          </w14:textFill>
        </w:rPr>
        <w:t>）</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 了解侵权责任承当方式的类型，各种承担方式的具体内容和适用范围；</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掌握损益相抵和过失相抵的构成要件，财产损害赔偿的范围和计算方法，精神损害赔偿的适用要件；</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w:t>
      </w:r>
      <w:r>
        <w:rPr>
          <w:rFonts w:asciiTheme="minorEastAsia" w:hAnsiTheme="minorEastAsia" w:eastAsiaTheme="minorEastAsia"/>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理解不同类型责任承担方式的存在意义；</w:t>
      </w:r>
    </w:p>
    <w:p>
      <w:pPr>
        <w:pStyle w:val="4"/>
        <w:spacing w:line="30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重点难点：</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本编</w:t>
      </w: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重点：各种责任承担方式的适用范围与选择，精神损害赔偿的适用范围，财产损害赔偿金额的确认标准；</w:t>
      </w:r>
    </w:p>
    <w:p>
      <w:pPr>
        <w:pStyle w:val="4"/>
        <w:spacing w:line="30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本编</w:t>
      </w:r>
      <w:r>
        <w:rPr>
          <w:rFonts w:hint="eastAsia" w:asciiTheme="minorEastAsia" w:hAnsiTheme="minorEastAsia" w:eastAsiaTheme="minorEastAsia"/>
          <w:color w:val="000000" w:themeColor="text1"/>
          <w:lang w:eastAsia="zh-CN"/>
          <w14:textFill>
            <w14:solidFill>
              <w14:schemeClr w14:val="tx1"/>
            </w14:solidFill>
          </w14:textFill>
        </w:rPr>
        <w:t>考试</w:t>
      </w:r>
      <w:r>
        <w:rPr>
          <w:rFonts w:hint="eastAsia" w:asciiTheme="minorEastAsia" w:hAnsiTheme="minorEastAsia" w:eastAsiaTheme="minorEastAsia"/>
          <w:color w:val="000000" w:themeColor="text1"/>
          <w14:textFill>
            <w14:solidFill>
              <w14:schemeClr w14:val="tx1"/>
            </w14:solidFill>
          </w14:textFill>
        </w:rPr>
        <w:t>难点：侵权责任中侵权责任与违约责任的竞合，精神损害的认定标准；</w:t>
      </w:r>
      <w:r>
        <w:rPr>
          <w:rFonts w:ascii="Times New Roman" w:hAnsi="宋体"/>
        </w:rPr>
        <w:tab/>
      </w:r>
    </w:p>
    <w:p>
      <w:pPr>
        <w:pStyle w:val="4"/>
        <w:spacing w:line="300" w:lineRule="auto"/>
        <w:rPr>
          <w:rFonts w:ascii="黑体" w:hAnsi="黑体" w:eastAsia="黑体" w:cs="黑体"/>
          <w:b/>
          <w:bCs/>
          <w:sz w:val="30"/>
          <w:szCs w:val="30"/>
        </w:rPr>
      </w:pPr>
      <w:r>
        <w:rPr>
          <w:rFonts w:hint="eastAsia" w:ascii="黑体" w:hAnsi="黑体" w:eastAsia="黑体" w:cs="黑体"/>
          <w:b/>
          <w:bCs/>
          <w:sz w:val="30"/>
          <w:szCs w:val="30"/>
        </w:rPr>
        <w:t>五、参考资源</w:t>
      </w:r>
    </w:p>
    <w:p>
      <w:pPr>
        <w:pStyle w:val="4"/>
        <w:spacing w:line="300" w:lineRule="auto"/>
      </w:pPr>
      <w:r>
        <w:rPr>
          <w:rFonts w:hint="eastAsia"/>
        </w:rPr>
        <w:t>[</w:t>
      </w:r>
      <w:r>
        <w:t>1</w:t>
      </w:r>
      <w:r>
        <w:rPr>
          <w:rFonts w:hint="eastAsia"/>
        </w:rPr>
        <w:t>]张新宝.侵权责任法（第5版）[</w:t>
      </w:r>
      <w:r>
        <w:t>M]</w:t>
      </w:r>
      <w:r>
        <w:rPr>
          <w:rFonts w:hint="eastAsia"/>
        </w:rPr>
        <w:t>.中国人民大学出版社，2</w:t>
      </w:r>
      <w:r>
        <w:t>020.</w:t>
      </w:r>
    </w:p>
    <w:p>
      <w:pPr>
        <w:pStyle w:val="4"/>
        <w:spacing w:line="300" w:lineRule="auto"/>
      </w:pPr>
      <w:r>
        <w:rPr>
          <w:rFonts w:hint="eastAsia"/>
        </w:rPr>
        <w:t>[</w:t>
      </w:r>
      <w:r>
        <w:t>2]</w:t>
      </w:r>
      <w:r>
        <w:rPr>
          <w:rFonts w:hint="eastAsia"/>
        </w:rPr>
        <w:t>杨立新.侵权责任法[</w:t>
      </w:r>
      <w:r>
        <w:t>M].</w:t>
      </w:r>
      <w:r>
        <w:rPr>
          <w:rFonts w:hint="eastAsia"/>
        </w:rPr>
        <w:t>高等教育出版社，2</w:t>
      </w:r>
      <w:r>
        <w:t>021.</w:t>
      </w:r>
    </w:p>
    <w:p>
      <w:pPr>
        <w:pStyle w:val="4"/>
        <w:spacing w:line="300" w:lineRule="auto"/>
      </w:pPr>
      <w:r>
        <w:rPr>
          <w:rFonts w:hint="eastAsia"/>
        </w:rPr>
        <w:t>[</w:t>
      </w:r>
      <w:r>
        <w:t>3</w:t>
      </w:r>
      <w:r>
        <w:rPr>
          <w:rFonts w:hint="eastAsia"/>
        </w:rPr>
        <w:t>]黄茂荣.侵权行为法（债法总论第五册）[</w:t>
      </w:r>
      <w:r>
        <w:t>M].</w:t>
      </w:r>
      <w:r>
        <w:rPr>
          <w:rFonts w:hint="eastAsia"/>
        </w:rPr>
        <w:t>植根出版社,</w:t>
      </w:r>
      <w:r>
        <w:t>2022.</w:t>
      </w:r>
    </w:p>
    <w:p>
      <w:pPr>
        <w:pStyle w:val="4"/>
        <w:spacing w:line="300" w:lineRule="auto"/>
      </w:pPr>
      <w:r>
        <w:t>[4]</w:t>
      </w:r>
      <w:r>
        <w:rPr>
          <w:rFonts w:hint="eastAsia"/>
        </w:rPr>
        <w:t>陈聪富.侵权行为法原理[</w:t>
      </w:r>
      <w:r>
        <w:t>M].</w:t>
      </w:r>
      <w:r>
        <w:rPr>
          <w:rFonts w:hint="eastAsia"/>
        </w:rPr>
        <w:t>元照出版公司，2</w:t>
      </w:r>
      <w:r>
        <w:t>023.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EzY2NjNDViMzM5MzI1ZDYzNGI1OWZiZGE0ZTRlYjEifQ=="/>
  </w:docVars>
  <w:rsids>
    <w:rsidRoot w:val="003B45C7"/>
    <w:rsid w:val="00006666"/>
    <w:rsid w:val="00024CFC"/>
    <w:rsid w:val="00042AEE"/>
    <w:rsid w:val="000536C6"/>
    <w:rsid w:val="0005690E"/>
    <w:rsid w:val="00057DA9"/>
    <w:rsid w:val="00062D58"/>
    <w:rsid w:val="00064C0A"/>
    <w:rsid w:val="00066CC3"/>
    <w:rsid w:val="000746D9"/>
    <w:rsid w:val="00086AE4"/>
    <w:rsid w:val="00094AAC"/>
    <w:rsid w:val="00097B14"/>
    <w:rsid w:val="000A0673"/>
    <w:rsid w:val="000A0DB5"/>
    <w:rsid w:val="000B5D8C"/>
    <w:rsid w:val="000B70B1"/>
    <w:rsid w:val="000C4D9C"/>
    <w:rsid w:val="000C6F8C"/>
    <w:rsid w:val="000E5A63"/>
    <w:rsid w:val="00107B1C"/>
    <w:rsid w:val="0013140A"/>
    <w:rsid w:val="00156041"/>
    <w:rsid w:val="00184386"/>
    <w:rsid w:val="00186E40"/>
    <w:rsid w:val="001A58AE"/>
    <w:rsid w:val="001A7A07"/>
    <w:rsid w:val="001C17E7"/>
    <w:rsid w:val="001D16C0"/>
    <w:rsid w:val="001D549F"/>
    <w:rsid w:val="001D7013"/>
    <w:rsid w:val="001E239C"/>
    <w:rsid w:val="001E671C"/>
    <w:rsid w:val="001F0138"/>
    <w:rsid w:val="001F1A44"/>
    <w:rsid w:val="00202CBA"/>
    <w:rsid w:val="002056D1"/>
    <w:rsid w:val="00213938"/>
    <w:rsid w:val="00221004"/>
    <w:rsid w:val="00221196"/>
    <w:rsid w:val="00231C01"/>
    <w:rsid w:val="002340A6"/>
    <w:rsid w:val="00235459"/>
    <w:rsid w:val="002355FE"/>
    <w:rsid w:val="00241C8F"/>
    <w:rsid w:val="0024631D"/>
    <w:rsid w:val="00280E0C"/>
    <w:rsid w:val="00283399"/>
    <w:rsid w:val="00292E48"/>
    <w:rsid w:val="002A0A1A"/>
    <w:rsid w:val="002A3B3E"/>
    <w:rsid w:val="002A4AAE"/>
    <w:rsid w:val="002B0DF8"/>
    <w:rsid w:val="002B35C4"/>
    <w:rsid w:val="002C75EC"/>
    <w:rsid w:val="002E11D7"/>
    <w:rsid w:val="002E6E82"/>
    <w:rsid w:val="002F7A45"/>
    <w:rsid w:val="003037DE"/>
    <w:rsid w:val="00312AA4"/>
    <w:rsid w:val="00320C4B"/>
    <w:rsid w:val="00324E56"/>
    <w:rsid w:val="00334044"/>
    <w:rsid w:val="00334926"/>
    <w:rsid w:val="00336F85"/>
    <w:rsid w:val="0035668C"/>
    <w:rsid w:val="00376AC1"/>
    <w:rsid w:val="00380B3A"/>
    <w:rsid w:val="00383F34"/>
    <w:rsid w:val="003A4475"/>
    <w:rsid w:val="003A7948"/>
    <w:rsid w:val="003B45C7"/>
    <w:rsid w:val="003D5D9C"/>
    <w:rsid w:val="003E3108"/>
    <w:rsid w:val="00400668"/>
    <w:rsid w:val="00401A3D"/>
    <w:rsid w:val="004032FB"/>
    <w:rsid w:val="00404AEA"/>
    <w:rsid w:val="004056DA"/>
    <w:rsid w:val="004129FD"/>
    <w:rsid w:val="00417F3F"/>
    <w:rsid w:val="00446EF7"/>
    <w:rsid w:val="0045000A"/>
    <w:rsid w:val="00454A13"/>
    <w:rsid w:val="00460E3D"/>
    <w:rsid w:val="00467596"/>
    <w:rsid w:val="00470F8F"/>
    <w:rsid w:val="004742F5"/>
    <w:rsid w:val="00476138"/>
    <w:rsid w:val="00492DED"/>
    <w:rsid w:val="0049560C"/>
    <w:rsid w:val="004A6F22"/>
    <w:rsid w:val="004B0839"/>
    <w:rsid w:val="004C658D"/>
    <w:rsid w:val="004D0277"/>
    <w:rsid w:val="004E1561"/>
    <w:rsid w:val="004E3451"/>
    <w:rsid w:val="005066C2"/>
    <w:rsid w:val="005216BC"/>
    <w:rsid w:val="00530BAD"/>
    <w:rsid w:val="00542F65"/>
    <w:rsid w:val="00546061"/>
    <w:rsid w:val="00556787"/>
    <w:rsid w:val="005718F1"/>
    <w:rsid w:val="00582BA2"/>
    <w:rsid w:val="00596897"/>
    <w:rsid w:val="005A4482"/>
    <w:rsid w:val="005B3DB9"/>
    <w:rsid w:val="005C006A"/>
    <w:rsid w:val="005D063A"/>
    <w:rsid w:val="005E5513"/>
    <w:rsid w:val="00602D07"/>
    <w:rsid w:val="00604E69"/>
    <w:rsid w:val="00606C46"/>
    <w:rsid w:val="006108A6"/>
    <w:rsid w:val="00616B19"/>
    <w:rsid w:val="006207C6"/>
    <w:rsid w:val="00627333"/>
    <w:rsid w:val="00630E19"/>
    <w:rsid w:val="006324AB"/>
    <w:rsid w:val="00643D77"/>
    <w:rsid w:val="00661024"/>
    <w:rsid w:val="006776E5"/>
    <w:rsid w:val="0068654F"/>
    <w:rsid w:val="00695B98"/>
    <w:rsid w:val="006A3561"/>
    <w:rsid w:val="006A6DA6"/>
    <w:rsid w:val="006B3310"/>
    <w:rsid w:val="006D7AB3"/>
    <w:rsid w:val="006F1AEA"/>
    <w:rsid w:val="00726F9A"/>
    <w:rsid w:val="00733EEF"/>
    <w:rsid w:val="00787AD8"/>
    <w:rsid w:val="007925A1"/>
    <w:rsid w:val="00792FAC"/>
    <w:rsid w:val="007B7C03"/>
    <w:rsid w:val="007D4E29"/>
    <w:rsid w:val="007F0A09"/>
    <w:rsid w:val="00801334"/>
    <w:rsid w:val="00812A0A"/>
    <w:rsid w:val="00841034"/>
    <w:rsid w:val="008429A2"/>
    <w:rsid w:val="008442BE"/>
    <w:rsid w:val="00864C64"/>
    <w:rsid w:val="0087129C"/>
    <w:rsid w:val="00874A8C"/>
    <w:rsid w:val="008828E4"/>
    <w:rsid w:val="00883ADC"/>
    <w:rsid w:val="008937C5"/>
    <w:rsid w:val="00893B66"/>
    <w:rsid w:val="00894B48"/>
    <w:rsid w:val="0089654B"/>
    <w:rsid w:val="008A55E0"/>
    <w:rsid w:val="008C7926"/>
    <w:rsid w:val="008D02AD"/>
    <w:rsid w:val="008D518A"/>
    <w:rsid w:val="008E008C"/>
    <w:rsid w:val="008F08E1"/>
    <w:rsid w:val="008F3455"/>
    <w:rsid w:val="008F3547"/>
    <w:rsid w:val="009066BD"/>
    <w:rsid w:val="00922693"/>
    <w:rsid w:val="009309F5"/>
    <w:rsid w:val="00932BFA"/>
    <w:rsid w:val="0093562E"/>
    <w:rsid w:val="00942E29"/>
    <w:rsid w:val="00955170"/>
    <w:rsid w:val="0096674A"/>
    <w:rsid w:val="00984CCE"/>
    <w:rsid w:val="00997DE5"/>
    <w:rsid w:val="009A45F4"/>
    <w:rsid w:val="009B7C50"/>
    <w:rsid w:val="009C7564"/>
    <w:rsid w:val="009E115B"/>
    <w:rsid w:val="009E25EA"/>
    <w:rsid w:val="009E2AC8"/>
    <w:rsid w:val="009E32EA"/>
    <w:rsid w:val="009E7F1C"/>
    <w:rsid w:val="00A215FC"/>
    <w:rsid w:val="00A268DB"/>
    <w:rsid w:val="00A631A5"/>
    <w:rsid w:val="00A659D4"/>
    <w:rsid w:val="00A76C9B"/>
    <w:rsid w:val="00A85B08"/>
    <w:rsid w:val="00AA1996"/>
    <w:rsid w:val="00AC698B"/>
    <w:rsid w:val="00AD7F18"/>
    <w:rsid w:val="00AE0340"/>
    <w:rsid w:val="00AF1B91"/>
    <w:rsid w:val="00AF5729"/>
    <w:rsid w:val="00B0001D"/>
    <w:rsid w:val="00B06174"/>
    <w:rsid w:val="00B07B0B"/>
    <w:rsid w:val="00B24DBD"/>
    <w:rsid w:val="00B253A9"/>
    <w:rsid w:val="00B25884"/>
    <w:rsid w:val="00B40520"/>
    <w:rsid w:val="00B44A95"/>
    <w:rsid w:val="00B55368"/>
    <w:rsid w:val="00B65C83"/>
    <w:rsid w:val="00B81E11"/>
    <w:rsid w:val="00BA29C8"/>
    <w:rsid w:val="00BB00EF"/>
    <w:rsid w:val="00BB3C60"/>
    <w:rsid w:val="00BB61FE"/>
    <w:rsid w:val="00BB78C2"/>
    <w:rsid w:val="00BC3329"/>
    <w:rsid w:val="00BD285B"/>
    <w:rsid w:val="00BF1C50"/>
    <w:rsid w:val="00C00C78"/>
    <w:rsid w:val="00C169F2"/>
    <w:rsid w:val="00C17EB0"/>
    <w:rsid w:val="00C30D1B"/>
    <w:rsid w:val="00C52CD7"/>
    <w:rsid w:val="00C7474E"/>
    <w:rsid w:val="00C7681D"/>
    <w:rsid w:val="00C83EE9"/>
    <w:rsid w:val="00C92535"/>
    <w:rsid w:val="00CA2C77"/>
    <w:rsid w:val="00CC1FE1"/>
    <w:rsid w:val="00CF0667"/>
    <w:rsid w:val="00CF1860"/>
    <w:rsid w:val="00CF278D"/>
    <w:rsid w:val="00D02EC9"/>
    <w:rsid w:val="00D06E10"/>
    <w:rsid w:val="00D077BD"/>
    <w:rsid w:val="00D10470"/>
    <w:rsid w:val="00D15381"/>
    <w:rsid w:val="00D2100B"/>
    <w:rsid w:val="00D21D3F"/>
    <w:rsid w:val="00D33C74"/>
    <w:rsid w:val="00D56075"/>
    <w:rsid w:val="00D62E13"/>
    <w:rsid w:val="00D91033"/>
    <w:rsid w:val="00D92F1C"/>
    <w:rsid w:val="00D94F0E"/>
    <w:rsid w:val="00DB1B05"/>
    <w:rsid w:val="00DB709D"/>
    <w:rsid w:val="00DC63E2"/>
    <w:rsid w:val="00DD6076"/>
    <w:rsid w:val="00DD6294"/>
    <w:rsid w:val="00DE1AC8"/>
    <w:rsid w:val="00DF11AE"/>
    <w:rsid w:val="00DF2307"/>
    <w:rsid w:val="00DF3806"/>
    <w:rsid w:val="00DF4871"/>
    <w:rsid w:val="00DF7649"/>
    <w:rsid w:val="00E01A72"/>
    <w:rsid w:val="00E01E34"/>
    <w:rsid w:val="00E10226"/>
    <w:rsid w:val="00E4044D"/>
    <w:rsid w:val="00E435B8"/>
    <w:rsid w:val="00E54450"/>
    <w:rsid w:val="00E562DC"/>
    <w:rsid w:val="00E85E7A"/>
    <w:rsid w:val="00E91A4C"/>
    <w:rsid w:val="00E946C7"/>
    <w:rsid w:val="00EA6F64"/>
    <w:rsid w:val="00EA6F93"/>
    <w:rsid w:val="00EA7FB8"/>
    <w:rsid w:val="00ED0188"/>
    <w:rsid w:val="00EE1507"/>
    <w:rsid w:val="00F03B22"/>
    <w:rsid w:val="00F04919"/>
    <w:rsid w:val="00F165F1"/>
    <w:rsid w:val="00F20645"/>
    <w:rsid w:val="00F214D9"/>
    <w:rsid w:val="00F31E2C"/>
    <w:rsid w:val="00F511C4"/>
    <w:rsid w:val="00F51A36"/>
    <w:rsid w:val="00F56FF8"/>
    <w:rsid w:val="00F57171"/>
    <w:rsid w:val="00F80C2F"/>
    <w:rsid w:val="00F82C42"/>
    <w:rsid w:val="00F87924"/>
    <w:rsid w:val="00F92F45"/>
    <w:rsid w:val="00F97403"/>
    <w:rsid w:val="00FC6E60"/>
    <w:rsid w:val="00FF2411"/>
    <w:rsid w:val="30AC28B9"/>
    <w:rsid w:val="40CB28E7"/>
    <w:rsid w:val="47437C2E"/>
    <w:rsid w:val="5EEC43BF"/>
    <w:rsid w:val="6598056F"/>
    <w:rsid w:val="704E28F4"/>
    <w:rsid w:val="741E03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jc w:val="center"/>
      <w:outlineLvl w:val="0"/>
    </w:pPr>
    <w:rPr>
      <w:rFonts w:ascii="黑体" w:eastAsia="黑体"/>
      <w:bCs/>
      <w:kern w:val="44"/>
      <w:sz w:val="32"/>
      <w:szCs w:val="32"/>
    </w:rPr>
  </w:style>
  <w:style w:type="paragraph" w:styleId="3">
    <w:name w:val="heading 2"/>
    <w:basedOn w:val="1"/>
    <w:next w:val="1"/>
    <w:qFormat/>
    <w:uiPriority w:val="0"/>
    <w:pPr>
      <w:keepNext/>
      <w:keepLines/>
      <w:spacing w:before="260" w:after="260" w:line="416" w:lineRule="auto"/>
      <w:outlineLvl w:val="1"/>
    </w:pPr>
    <w:rPr>
      <w:rFonts w:ascii="黑体" w:hAnsi="Arial" w:eastAsia="黑体"/>
      <w:sz w:val="30"/>
      <w:szCs w:val="30"/>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Plain Text"/>
    <w:basedOn w:val="1"/>
    <w:qFormat/>
    <w:uiPriority w:val="0"/>
    <w:rPr>
      <w:rFonts w:ascii="宋体" w:hAnsi="Courier New"/>
      <w:szCs w:val="21"/>
    </w:rPr>
  </w:style>
  <w:style w:type="paragraph" w:styleId="5">
    <w:name w:val="footer"/>
    <w:basedOn w:val="1"/>
    <w:link w:val="12"/>
    <w:uiPriority w:val="0"/>
    <w:pPr>
      <w:tabs>
        <w:tab w:val="center" w:pos="4153"/>
        <w:tab w:val="right" w:pos="8306"/>
      </w:tabs>
      <w:snapToGrid w:val="0"/>
      <w:jc w:val="left"/>
    </w:pPr>
    <w:rPr>
      <w:sz w:val="18"/>
      <w:szCs w:val="18"/>
    </w:rPr>
  </w:style>
  <w:style w:type="paragraph" w:styleId="6">
    <w:name w:val="header"/>
    <w:basedOn w:val="1"/>
    <w:link w:val="11"/>
    <w:uiPriority w:val="0"/>
    <w:pPr>
      <w:tabs>
        <w:tab w:val="center" w:pos="4153"/>
        <w:tab w:val="right" w:pos="8306"/>
      </w:tabs>
      <w:snapToGrid w:val="0"/>
      <w:jc w:val="center"/>
    </w:pPr>
    <w:rPr>
      <w:sz w:val="18"/>
      <w:szCs w:val="18"/>
    </w:rPr>
  </w:style>
  <w:style w:type="paragraph" w:customStyle="1" w:styleId="9">
    <w:name w:val="样式(附录文字)"/>
    <w:basedOn w:val="1"/>
    <w:qFormat/>
    <w:uiPriority w:val="0"/>
    <w:pPr>
      <w:autoSpaceDE w:val="0"/>
      <w:autoSpaceDN w:val="0"/>
      <w:adjustRightInd w:val="0"/>
      <w:spacing w:line="300" w:lineRule="auto"/>
      <w:ind w:firstLine="420" w:firstLineChars="200"/>
    </w:pPr>
    <w:rPr>
      <w:bCs/>
      <w:color w:val="00B0F0"/>
    </w:rPr>
  </w:style>
  <w:style w:type="paragraph" w:styleId="10">
    <w:name w:val="List Paragraph"/>
    <w:basedOn w:val="1"/>
    <w:uiPriority w:val="99"/>
    <w:pPr>
      <w:ind w:firstLine="420" w:firstLineChars="200"/>
    </w:pPr>
  </w:style>
  <w:style w:type="character" w:customStyle="1" w:styleId="11">
    <w:name w:val="页眉 字符"/>
    <w:basedOn w:val="8"/>
    <w:link w:val="6"/>
    <w:uiPriority w:val="0"/>
    <w:rPr>
      <w:rFonts w:ascii="Calibri" w:hAnsi="Calibri" w:eastAsia="宋体" w:cs="Times New Roman"/>
      <w:kern w:val="2"/>
      <w:sz w:val="18"/>
      <w:szCs w:val="18"/>
    </w:rPr>
  </w:style>
  <w:style w:type="character" w:customStyle="1" w:styleId="12">
    <w:name w:val="页脚 字符"/>
    <w:basedOn w:val="8"/>
    <w:link w:val="5"/>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2599</Words>
  <Characters>2731</Characters>
  <Lines>29</Lines>
  <Paragraphs>8</Paragraphs>
  <TotalTime>13</TotalTime>
  <ScaleCrop>false</ScaleCrop>
  <LinksUpToDate>false</LinksUpToDate>
  <CharactersWithSpaces>4022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2023-11-02T01:18:00Z</dcterms:created>
  <dc:creator>Administrator</dc:creator>
  <cp:lastModifiedBy>曲径通幽</cp:lastModifiedBy>
  <dcterms:modified xsi:type="dcterms:W3CDTF">2023-11-13T01:53:04Z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0F290652F73F4ED69848B8A593FA9C82_12</vt:lpwstr>
  </property>
</Properties>
</file>