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lang w:val="en-US" w:eastAsia="zh-CN"/>
        </w:rPr>
        <w:t>法学</w:t>
      </w:r>
      <w:r>
        <w:rPr>
          <w:rFonts w:hint="eastAsia" w:ascii="宋体"/>
          <w:color w:val="000000"/>
          <w:sz w:val="32"/>
        </w:rPr>
        <w:t>(</w:t>
      </w:r>
      <w:r>
        <w:rPr>
          <w:rFonts w:hint="eastAsia" w:ascii="宋体"/>
          <w:color w:val="000000"/>
          <w:sz w:val="32"/>
          <w:lang w:val="en-US" w:eastAsia="zh-CN"/>
        </w:rPr>
        <w:t>030101K</w:t>
      </w:r>
      <w:r>
        <w:rPr>
          <w:rFonts w:hint="eastAsia" w:ascii="宋体"/>
          <w:color w:val="000000"/>
          <w:sz w:val="32"/>
        </w:rPr>
        <w:t>)专业（</w:t>
      </w:r>
      <w:r>
        <w:rPr>
          <w:rFonts w:hint="eastAsia" w:ascii="宋体"/>
          <w:color w:val="000000"/>
          <w:sz w:val="32"/>
          <w:lang w:val="en-US" w:eastAsia="zh-CN"/>
        </w:rPr>
        <w:t>专升本</w:t>
      </w:r>
      <w:r>
        <w:rPr>
          <w:rFonts w:hint="eastAsia" w:ascii="宋体"/>
          <w:color w:val="000000"/>
          <w:sz w:val="32"/>
        </w:rPr>
        <w:t>）</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after="100" w:afterAutospacing="1" w:line="360" w:lineRule="auto"/>
        <w:jc w:val="center"/>
        <w:rPr>
          <w:rFonts w:hint="eastAsia" w:ascii="宋体"/>
          <w:b/>
          <w:color w:val="000000"/>
          <w:sz w:val="52"/>
          <w:lang w:val="en-US" w:eastAsia="zh-CN"/>
        </w:rPr>
      </w:pPr>
      <w:r>
        <w:rPr>
          <w:rFonts w:hint="eastAsia" w:ascii="宋体"/>
          <w:b/>
          <w:color w:val="000000"/>
          <w:sz w:val="52"/>
          <w:lang w:val="en-US" w:eastAsia="zh-CN"/>
        </w:rPr>
        <w:t>劳动与社会保障法</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w:t>
      </w:r>
      <w:r>
        <w:rPr>
          <w:rFonts w:hint="eastAsia" w:ascii="宋体"/>
          <w:color w:val="000000"/>
          <w:sz w:val="32"/>
          <w:lang w:val="en-US" w:eastAsia="zh-CN"/>
        </w:rPr>
        <w:t>13969</w:t>
      </w:r>
      <w:r>
        <w:rPr>
          <w:rFonts w:ascii="宋体"/>
          <w:color w:val="000000"/>
          <w:sz w:val="32"/>
        </w:rPr>
        <w:t>)</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hint="eastAsia" w:ascii="宋体"/>
          <w:color w:val="000000"/>
          <w:sz w:val="32"/>
        </w:rPr>
      </w:pPr>
      <w:r>
        <w:rPr>
          <w:rFonts w:hint="eastAsia" w:ascii="宋体"/>
          <w:color w:val="000000"/>
          <w:sz w:val="32"/>
        </w:rPr>
        <w:t>黑龙江省高等教育自学考试委员会办公室</w:t>
      </w:r>
    </w:p>
    <w:p>
      <w:pPr>
        <w:spacing w:line="360" w:lineRule="auto"/>
        <w:jc w:val="center"/>
        <w:rPr>
          <w:rFonts w:hint="eastAsia" w:ascii="宋体"/>
          <w:color w:val="000000"/>
          <w:sz w:val="32"/>
        </w:rPr>
      </w:pPr>
      <w:r>
        <w:rPr>
          <w:rFonts w:hint="eastAsia" w:ascii="宋体"/>
          <w:color w:val="000000"/>
          <w:sz w:val="32"/>
        </w:rPr>
        <w:t>二○</w:t>
      </w:r>
      <w:r>
        <w:rPr>
          <w:rFonts w:hint="eastAsia" w:ascii="宋体"/>
          <w:color w:val="000000"/>
          <w:sz w:val="32"/>
          <w:lang w:val="en-US" w:eastAsia="zh-CN"/>
        </w:rPr>
        <w:t>二三</w:t>
      </w:r>
      <w:r>
        <w:rPr>
          <w:rFonts w:hint="eastAsia" w:ascii="宋体"/>
          <w:color w:val="000000"/>
          <w:sz w:val="32"/>
        </w:rPr>
        <w:t>年十</w:t>
      </w:r>
      <w:r>
        <w:rPr>
          <w:rFonts w:hint="eastAsia" w:ascii="宋体"/>
          <w:color w:val="000000"/>
          <w:sz w:val="32"/>
          <w:lang w:val="en-US" w:eastAsia="zh-CN"/>
        </w:rPr>
        <w:t>一</w:t>
      </w:r>
      <w:r>
        <w:rPr>
          <w:rFonts w:hint="eastAsia" w:ascii="宋体"/>
          <w:color w:val="000000"/>
          <w:sz w:val="32"/>
        </w:rPr>
        <w:t>月</w:t>
      </w:r>
    </w:p>
    <w:p>
      <w:pPr>
        <w:spacing w:line="360" w:lineRule="auto"/>
        <w:jc w:val="center"/>
        <w:rPr>
          <w:rFonts w:hint="eastAsia" w:ascii="宋体"/>
          <w:color w:val="000000"/>
          <w:sz w:val="32"/>
        </w:rPr>
      </w:pPr>
    </w:p>
    <w:p>
      <w:pPr>
        <w:spacing w:line="360" w:lineRule="auto"/>
        <w:jc w:val="center"/>
        <w:rPr>
          <w:rFonts w:hint="eastAsia" w:ascii="宋体"/>
          <w:color w:val="000000"/>
          <w:sz w:val="32"/>
        </w:rPr>
      </w:pPr>
    </w:p>
    <w:p>
      <w:pPr>
        <w:spacing w:line="360" w:lineRule="auto"/>
        <w:jc w:val="center"/>
      </w:pPr>
      <w:r>
        <w:rPr>
          <w:rFonts w:hint="eastAsia"/>
          <w:sz w:val="28"/>
          <w:szCs w:val="28"/>
        </w:rPr>
        <w:t>《</w:t>
      </w:r>
      <w:r>
        <w:rPr>
          <w:rFonts w:hint="eastAsia"/>
          <w:sz w:val="28"/>
          <w:szCs w:val="28"/>
          <w:lang w:val="en-US" w:eastAsia="zh-CN"/>
        </w:rPr>
        <w:t>劳动与社会保障法</w:t>
      </w:r>
      <w:r>
        <w:rPr>
          <w:rFonts w:hint="eastAsia"/>
          <w:sz w:val="28"/>
          <w:szCs w:val="28"/>
        </w:rPr>
        <w:t>》</w:t>
      </w:r>
      <w:r>
        <w:rPr>
          <w:rFonts w:hint="eastAsia"/>
          <w:sz w:val="28"/>
          <w:szCs w:val="28"/>
          <w:lang w:val="en-US" w:eastAsia="zh-CN"/>
        </w:rPr>
        <w:t>考试</w:t>
      </w:r>
      <w:r>
        <w:rPr>
          <w:rFonts w:hint="eastAsia"/>
          <w:sz w:val="28"/>
          <w:szCs w:val="28"/>
        </w:rPr>
        <w:t>大纲</w:t>
      </w:r>
      <w:bookmarkEnd w:id="0"/>
    </w:p>
    <w:p>
      <w:pPr>
        <w:pStyle w:val="3"/>
        <w:rPr>
          <w:b/>
        </w:rPr>
      </w:pPr>
      <w:r>
        <w:rPr>
          <w:rFonts w:hint="eastAsia"/>
        </w:rPr>
        <w:t>一、课程基本信息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hint="eastAsia" w:ascii="宋体" w:hAnsi="宋体" w:eastAsia="宋体"/>
                <w:b/>
                <w:color w:val="auto"/>
                <w:szCs w:val="21"/>
                <w:highlight w:val="none"/>
                <w:lang w:eastAsia="zh-CN"/>
              </w:rPr>
            </w:pPr>
            <w:r>
              <w:rPr>
                <w:rFonts w:hint="eastAsia" w:ascii="宋体" w:hAnsi="宋体"/>
                <w:color w:val="auto"/>
                <w:spacing w:val="30"/>
                <w:szCs w:val="21"/>
                <w:highlight w:val="none"/>
                <w:lang w:val="en-US" w:eastAsia="zh-CN"/>
              </w:rPr>
              <w:t>主考</w:t>
            </w:r>
            <w:r>
              <w:rPr>
                <w:rFonts w:hint="eastAsia" w:ascii="宋体" w:hAnsi="宋体"/>
                <w:color w:val="auto"/>
                <w:spacing w:val="30"/>
                <w:szCs w:val="21"/>
                <w:highlight w:val="none"/>
              </w:rPr>
              <w:t>学</w:t>
            </w:r>
            <w:r>
              <w:rPr>
                <w:rFonts w:hint="eastAsia" w:ascii="宋体" w:hAnsi="宋体"/>
                <w:color w:val="auto"/>
                <w:spacing w:val="30"/>
                <w:szCs w:val="21"/>
                <w:highlight w:val="none"/>
                <w:lang w:val="en-US" w:eastAsia="zh-CN"/>
              </w:rPr>
              <w:t>校</w:t>
            </w:r>
          </w:p>
        </w:tc>
        <w:tc>
          <w:tcPr>
            <w:tcW w:w="2994" w:type="dxa"/>
            <w:vAlign w:val="center"/>
          </w:tcPr>
          <w:p>
            <w:pPr>
              <w:spacing w:line="380" w:lineRule="exact"/>
              <w:jc w:val="center"/>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黑龙江大学</w:t>
            </w:r>
          </w:p>
        </w:tc>
        <w:tc>
          <w:tcPr>
            <w:tcW w:w="1413"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专业</w:t>
            </w:r>
          </w:p>
        </w:tc>
        <w:tc>
          <w:tcPr>
            <w:tcW w:w="2744" w:type="dxa"/>
            <w:vAlign w:val="center"/>
          </w:tcPr>
          <w:p>
            <w:pPr>
              <w:spacing w:line="380" w:lineRule="exact"/>
              <w:jc w:val="center"/>
              <w:rPr>
                <w:rFonts w:hint="eastAsia" w:ascii="宋体" w:hAnsi="宋体" w:eastAsia="宋体"/>
                <w:b/>
                <w:szCs w:val="21"/>
                <w:highlight w:val="none"/>
                <w:lang w:eastAsia="zh-CN"/>
              </w:rPr>
            </w:pPr>
            <w:r>
              <w:rPr>
                <w:rFonts w:hint="eastAsia" w:ascii="宋体" w:hAnsi="宋体"/>
                <w:b/>
                <w:szCs w:val="21"/>
                <w:highlight w:val="none"/>
                <w:lang w:val="en-US" w:eastAsia="zh-CN"/>
              </w:rPr>
              <w:t>法学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hint="default" w:ascii="宋体" w:hAnsi="宋体" w:eastAsia="宋体"/>
                <w:b/>
                <w:szCs w:val="21"/>
                <w:lang w:val="en-US" w:eastAsia="zh-CN"/>
              </w:rPr>
            </w:pPr>
            <w:r>
              <w:rPr>
                <w:rFonts w:hint="eastAsia" w:ascii="宋体" w:hAnsi="宋体"/>
                <w:b/>
                <w:szCs w:val="21"/>
                <w:lang w:val="en-US" w:eastAsia="zh-CN"/>
              </w:rPr>
              <w:t>劳动与社会保障法</w:t>
            </w:r>
          </w:p>
        </w:tc>
        <w:tc>
          <w:tcPr>
            <w:tcW w:w="4157" w:type="dxa"/>
            <w:gridSpan w:val="2"/>
            <w:vAlign w:val="center"/>
          </w:tcPr>
          <w:p>
            <w:pPr>
              <w:spacing w:line="380" w:lineRule="exact"/>
              <w:jc w:val="center"/>
              <w:rPr>
                <w:rFonts w:ascii="宋体" w:hAnsi="宋体"/>
                <w:b/>
                <w:szCs w:val="21"/>
              </w:rPr>
            </w:pPr>
            <w:r>
              <w:rPr>
                <w:rFonts w:hint="eastAsia" w:ascii="宋体" w:hAnsi="宋体"/>
                <w:b/>
                <w:szCs w:val="21"/>
              </w:rPr>
              <w:t>Labor law and Social Security Law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刘俊.劳动与社会保障法学（第二版）.北京:高等教育出版社,2018.</w:t>
            </w:r>
          </w:p>
        </w:tc>
      </w:tr>
    </w:tbl>
    <w:p>
      <w:pPr>
        <w:pStyle w:val="3"/>
        <w:rPr>
          <w:b/>
          <w:bCs/>
          <w:color w:val="FF0000"/>
        </w:rPr>
      </w:pPr>
      <w:r>
        <w:rPr>
          <w:rFonts w:hint="eastAsia"/>
        </w:rPr>
        <w:t>二、课程简介</w:t>
      </w:r>
    </w:p>
    <w:p>
      <w:pPr>
        <w:pStyle w:val="7"/>
        <w:spacing w:line="360" w:lineRule="auto"/>
        <w:rPr>
          <w:color w:val="auto"/>
          <w:szCs w:val="21"/>
        </w:rPr>
      </w:pPr>
      <w:r>
        <w:rPr>
          <w:rFonts w:hint="eastAsia"/>
          <w:color w:val="auto"/>
          <w:szCs w:val="21"/>
        </w:rPr>
        <w:t xml:space="preserve"> 劳动与社会保障法学是一门实践性较强的课程，它主要</w:t>
      </w:r>
      <w:r>
        <w:rPr>
          <w:rFonts w:hint="eastAsia"/>
          <w:color w:val="auto"/>
          <w:szCs w:val="21"/>
          <w:lang w:val="en-US" w:eastAsia="zh-CN"/>
        </w:rPr>
        <w:t>研究劳动和社会保障法律制度、发生和历史及其规律的科学。劳动法的主要内容包括劳动法基本理论、外国及我国劳动立法沿革、劳动就业、劳动关系的建立、劳动合同的订立、履行、变更和解除、</w:t>
      </w:r>
      <w:r>
        <w:rPr>
          <w:rFonts w:hint="eastAsia"/>
          <w:color w:val="auto"/>
          <w:szCs w:val="21"/>
        </w:rPr>
        <w:t>劳动基准</w:t>
      </w:r>
      <w:r>
        <w:rPr>
          <w:rFonts w:hint="eastAsia"/>
          <w:color w:val="auto"/>
          <w:szCs w:val="21"/>
          <w:lang w:eastAsia="zh-CN"/>
        </w:rPr>
        <w:t>、</w:t>
      </w:r>
      <w:r>
        <w:rPr>
          <w:rFonts w:hint="eastAsia"/>
          <w:color w:val="auto"/>
          <w:szCs w:val="21"/>
          <w:lang w:val="en-US" w:eastAsia="zh-CN"/>
        </w:rPr>
        <w:t>劳动监察、劳动争议的解决等</w:t>
      </w:r>
      <w:r>
        <w:rPr>
          <w:rFonts w:hint="eastAsia"/>
          <w:color w:val="auto"/>
          <w:szCs w:val="21"/>
        </w:rPr>
        <w:t>社会保障，劳动争议处理等方面使学生了解我国劳动法和社会保障法的基本理论。</w:t>
      </w:r>
      <w:r>
        <w:rPr>
          <w:rFonts w:hint="eastAsia"/>
          <w:color w:val="auto"/>
          <w:szCs w:val="21"/>
          <w:lang w:val="en-US" w:eastAsia="zh-CN"/>
        </w:rPr>
        <w:t>社会保障法的主要内容包括社会保障基本理论、外国和我国社会保障立法沿革、社会福利、社会救助、社会保险和社会优抚法律制度。</w:t>
      </w:r>
      <w:r>
        <w:rPr>
          <w:rFonts w:hint="eastAsia"/>
          <w:color w:val="auto"/>
          <w:szCs w:val="21"/>
        </w:rPr>
        <w:t>了解</w:t>
      </w:r>
      <w:r>
        <w:rPr>
          <w:rFonts w:hint="eastAsia"/>
          <w:color w:val="auto"/>
          <w:szCs w:val="21"/>
          <w:lang w:val="en-US" w:eastAsia="zh-CN"/>
        </w:rPr>
        <w:t>上述理论和法律</w:t>
      </w:r>
      <w:r>
        <w:rPr>
          <w:rFonts w:hint="eastAsia"/>
          <w:color w:val="auto"/>
          <w:szCs w:val="21"/>
        </w:rPr>
        <w:t>制度</w:t>
      </w:r>
      <w:r>
        <w:rPr>
          <w:rFonts w:hint="eastAsia"/>
          <w:color w:val="auto"/>
          <w:szCs w:val="21"/>
          <w:lang w:eastAsia="zh-CN"/>
        </w:rPr>
        <w:t>，</w:t>
      </w:r>
      <w:r>
        <w:rPr>
          <w:rFonts w:hint="eastAsia"/>
          <w:color w:val="auto"/>
          <w:szCs w:val="21"/>
          <w:lang w:val="en-US" w:eastAsia="zh-CN"/>
        </w:rPr>
        <w:t>能够</w:t>
      </w:r>
      <w:r>
        <w:rPr>
          <w:rFonts w:hint="eastAsia"/>
          <w:color w:val="auto"/>
          <w:szCs w:val="21"/>
        </w:rPr>
        <w:t>。</w:t>
      </w:r>
    </w:p>
    <w:p>
      <w:pPr>
        <w:pStyle w:val="3"/>
        <w:rPr>
          <w:b/>
        </w:rPr>
      </w:pPr>
      <w:r>
        <w:rPr>
          <w:rFonts w:hint="eastAsia"/>
        </w:rPr>
        <w:t>三、课程目标</w:t>
      </w:r>
    </w:p>
    <w:p>
      <w:pPr>
        <w:spacing w:line="360" w:lineRule="auto"/>
        <w:ind w:firstLine="480"/>
        <w:rPr>
          <w:rFonts w:hint="eastAsia"/>
        </w:rPr>
      </w:pPr>
      <w:r>
        <w:rPr>
          <w:rFonts w:hint="eastAsia"/>
        </w:rPr>
        <w:t>劳动与社会保障法学在我国法律体系中是一门独立的法律部门，在法学教学体系中是一个重要的学科，各高等院校法学院系均开设了此课程。随着我国社会主义市场经济的发展，劳动法制不断完善，为适应市场经济的要求，近几年来，我国陆续颁布了劳动方面的一些新法律法规。通过本课程的学习，学生在获得相应学分的同时，将达成以下课程目标：</w:t>
      </w:r>
    </w:p>
    <w:p>
      <w:pPr>
        <w:spacing w:line="360" w:lineRule="auto"/>
        <w:ind w:firstLine="480"/>
        <w:rPr>
          <w:rFonts w:hint="eastAsia"/>
        </w:rPr>
      </w:pPr>
      <w:r>
        <w:rPr>
          <w:rFonts w:hint="eastAsia"/>
        </w:rPr>
        <w:t>课程目标1：掌握各章的基本理论、基础知识，各项劳动法律制度的基本知识和重要法律法规，加强学生对劳动与社会保障法的立法理念的理解。</w:t>
      </w:r>
    </w:p>
    <w:p>
      <w:pPr>
        <w:spacing w:line="360" w:lineRule="auto"/>
        <w:ind w:firstLine="480"/>
        <w:rPr>
          <w:rFonts w:hint="eastAsia"/>
        </w:rPr>
      </w:pPr>
      <w:r>
        <w:rPr>
          <w:rFonts w:hint="eastAsia"/>
        </w:rPr>
        <w:t>课程目标2：提高学生运用劳动与社会保障法基本理论分析实践问题、解决实际问题的能力，树立正确的法治思维，合法保护各方劳动权益，构建和谐劳动关系。</w:t>
      </w:r>
    </w:p>
    <w:p>
      <w:pPr>
        <w:spacing w:line="360" w:lineRule="auto"/>
        <w:ind w:firstLine="480"/>
        <w:rPr>
          <w:rFonts w:hint="eastAsia"/>
        </w:rPr>
      </w:pPr>
      <w:r>
        <w:rPr>
          <w:rFonts w:hint="eastAsia"/>
        </w:rPr>
        <w:t>课程目标3：具有运用专业基础知识，对劳动与社会保障关系和劳动与社会保障法律关系进行分析，并提出相应分析结论的一般能力。</w:t>
      </w:r>
    </w:p>
    <w:p>
      <w:pPr>
        <w:spacing w:line="360" w:lineRule="auto"/>
        <w:ind w:firstLine="480"/>
        <w:rPr>
          <w:rFonts w:hint="eastAsia"/>
        </w:rPr>
      </w:pPr>
      <w:r>
        <w:rPr>
          <w:rFonts w:hint="eastAsia"/>
        </w:rPr>
        <w:t xml:space="preserve"> 【育人目标】</w:t>
      </w:r>
    </w:p>
    <w:p>
      <w:pPr>
        <w:pStyle w:val="7"/>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从“依法治国”着眼、落地，把握学生成长、成才的发展需要和期待，运用多种教学手段和方法，通过中外法律制度比较、党和国家对人民的关怀和等思政元素映射，引导学生体会、感受并具备从事法学相关领域工作所需具备的“道德规范、价值观念、行为准则和家国情怀”。</w:t>
      </w:r>
    </w:p>
    <w:p>
      <w:pPr>
        <w:pStyle w:val="3"/>
        <w:rPr>
          <w:b/>
          <w:sz w:val="30"/>
          <w:szCs w:val="30"/>
        </w:rPr>
      </w:pPr>
      <w:r>
        <w:rPr>
          <w:rFonts w:hint="eastAsia"/>
          <w:lang w:val="en-US" w:eastAsia="zh-CN"/>
        </w:rPr>
        <w:t>四</w:t>
      </w:r>
      <w:r>
        <w:rPr>
          <w:rFonts w:hint="eastAsia"/>
        </w:rPr>
        <w:t>、</w:t>
      </w:r>
      <w:r>
        <w:rPr>
          <w:rFonts w:hint="eastAsia"/>
          <w:b/>
          <w:sz w:val="30"/>
          <w:szCs w:val="30"/>
        </w:rPr>
        <w:t>教学内容、重点难点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第一章 劳动法基础理论</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1.劳动法概述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2.劳动法的基本原则</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3.劳动法律关系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4.劳动法的产生和发展</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：劳动法律关系之要素</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：劳动者与用人单位的权利</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第二章 就业促进法律制度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1.就业促进概述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2.反就业歧视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3.就业歧视的法律治理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4.就业服务与管理</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：就业政策</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：反就业歧视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第三章 劳动合同法律制度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1.劳动合同概述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2.劳动合同的订立</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3.劳动合同的履行、中止、变更和承继</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4.劳动合同的解除和终止</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5.经济补偿</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6.劳动合同特殊制度</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：掌握劳动合同的订立、履行、中止、变更和承继、劳动合同的解除和终止以及经济补偿；一般掌握劳动合同概述和劳动合同特殊制度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：劳动合同解除的情形</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第四章集体劳动关系法律制度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1.集体劳动关系法基本理论</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2.工会</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3.集体协商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4.集体合同</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5.职工民主参与</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：工会与集体合同；一般掌握集体协商与职工民主参与</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：工会与集体劳动关系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第五章 劳动基准法律制度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1.劳动基准的基本原理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2.工时制度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3.休息时间制度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4.工资制度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5.职业安全健康制度</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：工作时间、工资制度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：加班加点工资、最低工资；</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第六章 劳动监察与劳动争议处理法律制度</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1.劳动监察</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2.劳动争议处理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3.集体劳动争议的处理</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：劳动争议处理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：劳动争议仲裁</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第七章 社会保障法基础理论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1.社会保障法概述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2.社会保障法律关系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3社会保障法的历史演进</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：社会保障法律关系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：社保制度的功能</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第八章 养老保险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1.养老保险概述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2.职工养老保险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3.机关事业单位人员养老保险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4.居民养老保险</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：养老保险的模式</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：养老保险关系的接续转移</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第九章 医疗保险和生育保险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1.医疗保险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2.生育保险</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 xml:space="preserve">：医疗保险支付 </w:t>
      </w:r>
      <w:bookmarkStart w:id="1" w:name="_GoBack"/>
      <w:bookmarkEnd w:id="1"/>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 xml:space="preserve">：医疗保险与商业险的区别 </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第十章工伤保险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1.工伤保险概述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2.工伤预防</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3.工伤认定与劳动能力鉴定</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4.工伤保险待遇</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：工伤认定、公司待遇</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：视为工伤的认定</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第十一章失业保险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1.失业保险概述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2.失业保险待遇</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：失业保险待遇</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：失业保险待遇的支付条件</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第十二章 社会保险基金</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1.社会保险基金概述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2.社会保险基金筹集</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3.社会保险基金投资运营</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4.社会保险基金监督管理</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：社保基金种类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：社保基金的筹集</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第十三章 社会救助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1.社会救助概述</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2.社会救助的基本内容</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：社会救助体系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：专项救助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 xml:space="preserve">                                  </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第十四章 社会福利和社会优抚</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教学内容：</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1.社会福利</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2.社会优抚</w:t>
      </w:r>
    </w:p>
    <w:p>
      <w:pPr>
        <w:pStyle w:val="4"/>
        <w:spacing w:line="300" w:lineRule="auto"/>
        <w:rPr>
          <w:rFonts w:hint="eastAsia" w:ascii="Times New Roman" w:hAnsi="宋体"/>
          <w:b w:val="0"/>
          <w:bCs w:val="0"/>
          <w:color w:val="000000" w:themeColor="text1"/>
          <w14:textFill>
            <w14:solidFill>
              <w14:schemeClr w14:val="tx1"/>
            </w14:solidFill>
          </w14:textFill>
        </w:rPr>
      </w:pP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lang w:eastAsia="zh-CN"/>
          <w14:textFill>
            <w14:solidFill>
              <w14:schemeClr w14:val="tx1"/>
            </w14:solidFill>
          </w14:textFill>
        </w:rPr>
        <w:t>重点难点</w:t>
      </w:r>
      <w:r>
        <w:rPr>
          <w:rFonts w:hint="eastAsia" w:ascii="Times New Roman" w:hAnsi="宋体"/>
          <w:b w:val="0"/>
          <w:bCs w:val="0"/>
          <w:color w:val="000000" w:themeColor="text1"/>
          <w14:textFill>
            <w14:solidFill>
              <w14:schemeClr w14:val="tx1"/>
            </w14:solidFill>
          </w14:textFill>
        </w:rPr>
        <w:t>：</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考试重点</w:t>
      </w:r>
      <w:r>
        <w:rPr>
          <w:rFonts w:hint="eastAsia" w:ascii="Times New Roman" w:hAnsi="宋体"/>
          <w:b w:val="0"/>
          <w:bCs w:val="0"/>
          <w:color w:val="000000" w:themeColor="text1"/>
          <w14:textFill>
            <w14:solidFill>
              <w14:schemeClr w14:val="tx1"/>
            </w14:solidFill>
          </w14:textFill>
        </w:rPr>
        <w:t>：社会福利种类</w:t>
      </w:r>
    </w:p>
    <w:p>
      <w:pPr>
        <w:pStyle w:val="4"/>
        <w:spacing w:line="300" w:lineRule="auto"/>
        <w:rPr>
          <w:rFonts w:hint="eastAsia" w:ascii="Times New Roman" w:hAnsi="宋体"/>
          <w:b w:val="0"/>
          <w:bCs w:val="0"/>
          <w:color w:val="000000" w:themeColor="text1"/>
          <w14:textFill>
            <w14:solidFill>
              <w14:schemeClr w14:val="tx1"/>
            </w14:solidFill>
          </w14:textFill>
        </w:rPr>
      </w:pPr>
      <w:r>
        <w:rPr>
          <w:rFonts w:hint="eastAsia" w:ascii="Times New Roman" w:hAnsi="宋体"/>
          <w:b w:val="0"/>
          <w:bCs w:val="0"/>
          <w:color w:val="000000" w:themeColor="text1"/>
          <w14:textFill>
            <w14:solidFill>
              <w14:schemeClr w14:val="tx1"/>
            </w14:solidFill>
          </w14:textFill>
        </w:rPr>
        <w:t>本章</w:t>
      </w:r>
      <w:r>
        <w:rPr>
          <w:rFonts w:hint="eastAsia" w:ascii="Times New Roman" w:hAnsi="宋体"/>
          <w:b w:val="0"/>
          <w:bCs w:val="0"/>
          <w:color w:val="000000" w:themeColor="text1"/>
          <w:lang w:eastAsia="zh-CN"/>
          <w14:textFill>
            <w14:solidFill>
              <w14:schemeClr w14:val="tx1"/>
            </w14:solidFill>
          </w14:textFill>
        </w:rPr>
        <w:t>考试难点</w:t>
      </w:r>
      <w:r>
        <w:rPr>
          <w:rFonts w:hint="eastAsia" w:ascii="Times New Roman" w:hAnsi="宋体"/>
          <w:b w:val="0"/>
          <w:bCs w:val="0"/>
          <w:color w:val="000000" w:themeColor="text1"/>
          <w14:textFill>
            <w14:solidFill>
              <w14:schemeClr w14:val="tx1"/>
            </w14:solidFill>
          </w14:textFill>
        </w:rPr>
        <w:t>：特殊群体福利、社会抚恤</w:t>
      </w:r>
    </w:p>
    <w:p>
      <w:pPr>
        <w:pStyle w:val="4"/>
        <w:spacing w:line="300" w:lineRule="auto"/>
        <w:rPr>
          <w:b/>
          <w:bCs/>
          <w:sz w:val="30"/>
          <w:szCs w:val="30"/>
        </w:rPr>
      </w:pPr>
      <w:r>
        <w:rPr>
          <w:rFonts w:hint="eastAsia" w:ascii="黑体" w:hAnsi="黑体" w:eastAsia="黑体" w:cs="黑体"/>
          <w:b/>
          <w:bCs/>
          <w:sz w:val="30"/>
          <w:szCs w:val="30"/>
          <w:lang w:val="en-US" w:eastAsia="zh-CN"/>
        </w:rPr>
        <w:t>五</w:t>
      </w:r>
      <w:r>
        <w:rPr>
          <w:rFonts w:hint="eastAsia" w:ascii="黑体" w:hAnsi="黑体" w:eastAsia="黑体" w:cs="黑体"/>
          <w:b/>
          <w:bCs/>
          <w:sz w:val="30"/>
          <w:szCs w:val="30"/>
        </w:rPr>
        <w:t>、参考资源</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[1]林嘉主编.劳动与社会保障法[M].北京:中国人民大学出版社,2016.</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[2]夏纪森.哈耶克自发秩序思想研究[M].上海:上海三联书店出版社,2017.</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[3]贾俊玲主编.劳动法与社会保障法学[M].北京:中国劳动社会保障出版社,2012.</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[4]郑尚元主编.劳动和社会保障法学[M].北京:北京师范大学出版社,2010.</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[5]刘俊主编.劳动与社会保障法学[M].北京:高等教育出版社,2018.</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[6]王全兴主编.劳动法[M].北京:法律出版社,2017.</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[7]常凯主编.劳动法[M].北京:高等教育出版社,2011.</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[8]史尚宽.劳动法原论[M].台湾:正大印书馆,1934.</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[9]黎建飞主编.劳动与社会保障法教程[M].北京:中国人民大学出版社,2013.</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[10]刘冠军,任洲鸿.劳动力资本论[M].中国经济出版社,2018.</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[11]李瑞主编.劳动与社会保障法[M].北京:北京大学出版社,2013.</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[12]冯同庆主编.劳动关系理论研究[M].北京:中国工人出版社,2012.</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r>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t>[13]郑成功主编.中国社会改革与发展战略[M].北京:人民出版社,2011.</w:t>
      </w:r>
    </w:p>
    <w:p>
      <w:pPr>
        <w:spacing w:line="360" w:lineRule="auto"/>
        <w:rPr>
          <w:rFonts w:hint="eastAsia" w:ascii="Times New Roman" w:hAnsi="宋体" w:eastAsia="宋体" w:cs="Times New Roman"/>
          <w:b w:val="0"/>
          <w:bCs w:val="0"/>
          <w:color w:val="000000" w:themeColor="text1"/>
          <w:kern w:val="2"/>
          <w:sz w:val="21"/>
          <w:szCs w:val="21"/>
          <w:lang w:val="en-US" w:eastAsia="zh-CN" w:bidi="ar-SA"/>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Y2NjNDViMzM5MzI1ZDYzNGI1OWZiZGE0ZTRlYjEifQ=="/>
  </w:docVars>
  <w:rsids>
    <w:rsidRoot w:val="00000000"/>
    <w:rsid w:val="017442FA"/>
    <w:rsid w:val="045A6A33"/>
    <w:rsid w:val="08845B88"/>
    <w:rsid w:val="2416564D"/>
    <w:rsid w:val="30AC28B9"/>
    <w:rsid w:val="31C66592"/>
    <w:rsid w:val="40CB28E7"/>
    <w:rsid w:val="47437C2E"/>
    <w:rsid w:val="704E28F4"/>
    <w:rsid w:val="741E03FC"/>
    <w:rsid w:val="7AFD5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customStyle="1" w:styleId="7">
    <w:name w:val="样式(附录文字)"/>
    <w:basedOn w:val="1"/>
    <w:qFormat/>
    <w:uiPriority w:val="0"/>
    <w:pPr>
      <w:autoSpaceDE w:val="0"/>
      <w:autoSpaceDN w:val="0"/>
      <w:adjustRightInd w:val="0"/>
      <w:spacing w:line="300" w:lineRule="auto"/>
      <w:ind w:firstLine="420" w:firstLineChars="200"/>
    </w:pPr>
    <w:rPr>
      <w:bCs/>
      <w:color w:val="00B0F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2403</Words>
  <Characters>2626</Characters>
  <Lines>0</Lines>
  <Paragraphs>0</Paragraphs>
  <TotalTime>25</TotalTime>
  <ScaleCrop>false</ScaleCrop>
  <LinksUpToDate>false</LinksUpToDate>
  <CharactersWithSpaces>2928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2023-10-31T02:21:00Z</dcterms:created>
  <dc:creator>Administrator</dc:creator>
  <cp:lastModifiedBy>曲径通幽</cp:lastModifiedBy>
  <dcterms:modified xsi:type="dcterms:W3CDTF">2023-11-13T01:12:20Z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5494A0DFCD9C4F5080304E0D188C2120_13</vt:lpwstr>
  </property>
</Properties>
</file>