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ascii="宋体"/>
          <w:color w:val="000000"/>
          <w:sz w:val="32"/>
        </w:rPr>
      </w:pPr>
      <w:bookmarkStart w:id="0" w:name="_Toc140866273"/>
      <w:r>
        <w:rPr>
          <w:rFonts w:hint="eastAsia" w:ascii="宋体"/>
          <w:color w:val="000000"/>
          <w:sz w:val="32"/>
        </w:rPr>
        <w:t>黑龙江省高等教育自学考试</w:t>
      </w:r>
    </w:p>
    <w:p>
      <w:pPr>
        <w:spacing w:line="360" w:lineRule="auto"/>
        <w:jc w:val="center"/>
        <w:rPr>
          <w:rFonts w:ascii="宋体"/>
          <w:color w:val="000000"/>
          <w:sz w:val="32"/>
        </w:rPr>
      </w:pPr>
      <w:r>
        <w:rPr>
          <w:rFonts w:hint="eastAsia" w:ascii="宋体"/>
          <w:color w:val="000000"/>
          <w:sz w:val="32"/>
        </w:rPr>
        <w:t>法学（0</w:t>
      </w:r>
      <w:r>
        <w:rPr>
          <w:rFonts w:ascii="宋体"/>
          <w:color w:val="000000"/>
          <w:sz w:val="32"/>
        </w:rPr>
        <w:t>30101K</w:t>
      </w:r>
      <w:r>
        <w:rPr>
          <w:rFonts w:hint="eastAsia" w:ascii="宋体"/>
          <w:color w:val="000000"/>
          <w:sz w:val="32"/>
        </w:rPr>
        <w:t>）</w:t>
      </w:r>
      <w:r>
        <w:rPr>
          <w:rFonts w:hint="eastAsia" w:ascii="宋体"/>
          <w:color w:val="000000"/>
          <w:sz w:val="32"/>
          <w:lang w:val="en-US" w:eastAsia="zh-CN"/>
        </w:rPr>
        <w:t>专业</w:t>
      </w:r>
      <w:bookmarkStart w:id="1" w:name="_GoBack"/>
      <w:bookmarkEnd w:id="1"/>
      <w:r>
        <w:rPr>
          <w:rFonts w:hint="eastAsia" w:ascii="宋体"/>
          <w:color w:val="000000"/>
          <w:sz w:val="32"/>
        </w:rPr>
        <w:t>（专升本）</w:t>
      </w: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264" w:lineRule="atLeast"/>
        <w:rPr>
          <w:rFonts w:ascii="宋体"/>
          <w:b/>
          <w:color w:val="000000"/>
          <w:sz w:val="24"/>
        </w:rPr>
      </w:pPr>
    </w:p>
    <w:p>
      <w:pPr>
        <w:spacing w:line="360" w:lineRule="auto"/>
        <w:jc w:val="center"/>
        <w:rPr>
          <w:rFonts w:ascii="宋体"/>
          <w:b/>
          <w:color w:val="000000"/>
          <w:sz w:val="52"/>
        </w:rPr>
      </w:pPr>
      <w:r>
        <w:rPr>
          <w:rFonts w:hint="eastAsia" w:ascii="宋体"/>
          <w:b/>
          <w:color w:val="000000"/>
          <w:sz w:val="52"/>
        </w:rPr>
        <w:t>环境资源法学</w:t>
      </w:r>
    </w:p>
    <w:p>
      <w:pPr>
        <w:spacing w:after="100" w:afterAutospacing="1" w:line="360" w:lineRule="auto"/>
        <w:jc w:val="center"/>
        <w:rPr>
          <w:rFonts w:ascii="宋体"/>
          <w:b/>
          <w:color w:val="000000"/>
          <w:sz w:val="32"/>
        </w:rPr>
      </w:pPr>
      <w:r>
        <w:rPr>
          <w:rFonts w:hint="eastAsia" w:ascii="宋体"/>
          <w:color w:val="000000"/>
          <w:sz w:val="32"/>
        </w:rPr>
        <w:t>(课程代码</w:t>
      </w:r>
      <w:r>
        <w:rPr>
          <w:rFonts w:ascii="宋体"/>
          <w:color w:val="000000"/>
          <w:sz w:val="32"/>
        </w:rPr>
        <w:t xml:space="preserve"> 13749)</w:t>
      </w: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264" w:lineRule="atLeast"/>
        <w:jc w:val="center"/>
        <w:rPr>
          <w:rFonts w:ascii="宋体"/>
          <w:color w:val="000000"/>
          <w:sz w:val="32"/>
        </w:rPr>
      </w:pPr>
    </w:p>
    <w:p>
      <w:pPr>
        <w:spacing w:line="360" w:lineRule="auto"/>
        <w:jc w:val="center"/>
        <w:rPr>
          <w:rFonts w:ascii="宋体"/>
          <w:color w:val="000000"/>
          <w:sz w:val="32"/>
        </w:rPr>
      </w:pPr>
      <w:r>
        <w:rPr>
          <w:rFonts w:hint="eastAsia" w:ascii="宋体"/>
          <w:color w:val="000000"/>
          <w:sz w:val="32"/>
        </w:rPr>
        <w:t>黑龙江省高等教育自学考试委员会办公室</w:t>
      </w:r>
    </w:p>
    <w:p>
      <w:pPr>
        <w:spacing w:line="360" w:lineRule="auto"/>
        <w:jc w:val="center"/>
        <w:rPr>
          <w:rFonts w:ascii="宋体"/>
          <w:color w:val="000000"/>
          <w:sz w:val="32"/>
        </w:rPr>
      </w:pPr>
      <w:r>
        <w:rPr>
          <w:rFonts w:hint="eastAsia" w:ascii="宋体"/>
          <w:color w:val="000000"/>
          <w:sz w:val="32"/>
        </w:rPr>
        <w:t>二○二三年十一月</w:t>
      </w: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rPr>
          <w:rFonts w:ascii="宋体"/>
          <w:color w:val="000000"/>
          <w:sz w:val="32"/>
        </w:rPr>
      </w:pPr>
    </w:p>
    <w:p>
      <w:pPr>
        <w:spacing w:line="360" w:lineRule="auto"/>
        <w:jc w:val="center"/>
      </w:pPr>
      <w:r>
        <w:rPr>
          <w:rFonts w:hint="eastAsia"/>
          <w:sz w:val="28"/>
          <w:szCs w:val="28"/>
        </w:rPr>
        <w:t>《环境资源法学》考试大纲</w:t>
      </w:r>
      <w:bookmarkEnd w:id="0"/>
    </w:p>
    <w:p>
      <w:pPr>
        <w:pStyle w:val="3"/>
        <w:rPr>
          <w:b/>
        </w:rPr>
      </w:pPr>
      <w:r>
        <w:rPr>
          <w:rFonts w:hint="eastAsia"/>
        </w:rPr>
        <w:t>一、课程基本信息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1"/>
        <w:gridCol w:w="2994"/>
        <w:gridCol w:w="1413"/>
        <w:gridCol w:w="27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b/>
                <w:szCs w:val="21"/>
              </w:rPr>
            </w:pPr>
            <w:r>
              <w:rPr>
                <w:rFonts w:hint="eastAsia" w:ascii="宋体" w:hAnsi="宋体"/>
                <w:spacing w:val="30"/>
                <w:szCs w:val="21"/>
              </w:rPr>
              <w:t>主考学校</w:t>
            </w:r>
          </w:p>
        </w:tc>
        <w:tc>
          <w:tcPr>
            <w:tcW w:w="2994" w:type="dxa"/>
            <w:vAlign w:val="center"/>
          </w:tcPr>
          <w:p>
            <w:pPr>
              <w:spacing w:line="380" w:lineRule="exact"/>
              <w:jc w:val="center"/>
              <w:rPr>
                <w:rFonts w:ascii="宋体" w:hAnsi="宋体"/>
                <w:b/>
                <w:szCs w:val="21"/>
              </w:rPr>
            </w:pPr>
            <w:r>
              <w:rPr>
                <w:rFonts w:hint="eastAsia" w:ascii="宋体" w:hAnsi="宋体"/>
                <w:b/>
                <w:szCs w:val="21"/>
              </w:rPr>
              <w:t>黑龙江大学</w:t>
            </w:r>
          </w:p>
        </w:tc>
        <w:tc>
          <w:tcPr>
            <w:tcW w:w="1413" w:type="dxa"/>
            <w:vAlign w:val="center"/>
          </w:tcPr>
          <w:p>
            <w:pPr>
              <w:spacing w:line="380" w:lineRule="exact"/>
              <w:jc w:val="center"/>
              <w:rPr>
                <w:rFonts w:ascii="宋体" w:hAnsi="宋体"/>
                <w:b/>
                <w:szCs w:val="21"/>
              </w:rPr>
            </w:pPr>
            <w:r>
              <w:rPr>
                <w:rFonts w:hint="eastAsia" w:ascii="宋体" w:hAnsi="宋体"/>
                <w:spacing w:val="30"/>
                <w:szCs w:val="21"/>
              </w:rPr>
              <w:t>专业</w:t>
            </w:r>
          </w:p>
        </w:tc>
        <w:tc>
          <w:tcPr>
            <w:tcW w:w="2744" w:type="dxa"/>
            <w:vAlign w:val="center"/>
          </w:tcPr>
          <w:p>
            <w:pPr>
              <w:spacing w:line="380" w:lineRule="exact"/>
              <w:jc w:val="center"/>
              <w:rPr>
                <w:rFonts w:ascii="宋体" w:hAnsi="宋体"/>
                <w:b/>
                <w:szCs w:val="21"/>
              </w:rPr>
            </w:pPr>
            <w:r>
              <w:rPr>
                <w:rFonts w:hint="eastAsia" w:ascii="宋体" w:hAnsi="宋体"/>
                <w:b/>
                <w:szCs w:val="21"/>
              </w:rPr>
              <w:t>法学（专升本）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课程名称</w:t>
            </w:r>
          </w:p>
        </w:tc>
        <w:tc>
          <w:tcPr>
            <w:tcW w:w="2994" w:type="dxa"/>
            <w:vAlign w:val="center"/>
          </w:tcPr>
          <w:p>
            <w:pPr>
              <w:spacing w:line="380" w:lineRule="exact"/>
              <w:jc w:val="center"/>
              <w:rPr>
                <w:rFonts w:ascii="宋体" w:hAnsi="宋体"/>
                <w:b/>
                <w:szCs w:val="21"/>
              </w:rPr>
            </w:pPr>
            <w:r>
              <w:rPr>
                <w:rFonts w:hint="eastAsia" w:ascii="宋体" w:hAnsi="宋体"/>
                <w:b/>
                <w:szCs w:val="21"/>
              </w:rPr>
              <w:t>环境资源法学</w:t>
            </w:r>
          </w:p>
        </w:tc>
        <w:tc>
          <w:tcPr>
            <w:tcW w:w="4157" w:type="dxa"/>
            <w:gridSpan w:val="2"/>
            <w:vAlign w:val="center"/>
          </w:tcPr>
          <w:p>
            <w:pPr>
              <w:spacing w:line="380" w:lineRule="exact"/>
              <w:jc w:val="center"/>
              <w:rPr>
                <w:rFonts w:ascii="宋体" w:hAnsi="宋体"/>
                <w:b/>
                <w:szCs w:val="21"/>
              </w:rPr>
            </w:pPr>
            <w:r>
              <w:rPr>
                <w:rFonts w:ascii="宋体" w:hAnsi="宋体"/>
                <w:b/>
                <w:szCs w:val="21"/>
              </w:rPr>
              <w:t>Environmental and Resource Law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71" w:type="dxa"/>
            <w:vAlign w:val="center"/>
          </w:tcPr>
          <w:p>
            <w:pPr>
              <w:spacing w:line="380" w:lineRule="exact"/>
              <w:jc w:val="center"/>
              <w:rPr>
                <w:rFonts w:ascii="宋体" w:hAnsi="宋体"/>
                <w:spacing w:val="30"/>
                <w:szCs w:val="21"/>
              </w:rPr>
            </w:pPr>
            <w:r>
              <w:rPr>
                <w:rFonts w:hint="eastAsia" w:ascii="宋体" w:hAnsi="宋体"/>
                <w:spacing w:val="30"/>
                <w:szCs w:val="21"/>
              </w:rPr>
              <w:t>参考教材</w:t>
            </w:r>
          </w:p>
        </w:tc>
        <w:tc>
          <w:tcPr>
            <w:tcW w:w="7151" w:type="dxa"/>
            <w:gridSpan w:val="3"/>
            <w:vAlign w:val="center"/>
          </w:tcPr>
          <w:p>
            <w:pPr>
              <w:spacing w:line="380" w:lineRule="exact"/>
              <w:jc w:val="center"/>
              <w:rPr>
                <w:rFonts w:ascii="宋体" w:hAnsi="宋体"/>
                <w:b/>
                <w:szCs w:val="21"/>
              </w:rPr>
            </w:pPr>
            <w:r>
              <w:rPr>
                <w:rFonts w:hint="eastAsia" w:ascii="宋体" w:hAnsi="宋体"/>
                <w:b/>
                <w:szCs w:val="21"/>
              </w:rPr>
              <w:t>周珂 易骆之 唐双娥 孙佑海. 环境与资源保护法. 第五版. 北京：中国人民大学出版社.</w:t>
            </w:r>
            <w:r>
              <w:rPr>
                <w:rFonts w:ascii="宋体" w:hAnsi="宋体"/>
                <w:b/>
                <w:szCs w:val="21"/>
              </w:rPr>
              <w:t xml:space="preserve"> </w:t>
            </w:r>
            <w:r>
              <w:rPr>
                <w:rFonts w:hint="eastAsia" w:ascii="宋体" w:hAnsi="宋体"/>
                <w:b/>
                <w:szCs w:val="21"/>
              </w:rPr>
              <w:t>20</w:t>
            </w:r>
            <w:r>
              <w:rPr>
                <w:rFonts w:ascii="宋体" w:hAnsi="宋体"/>
                <w:b/>
                <w:szCs w:val="21"/>
              </w:rPr>
              <w:t>23</w:t>
            </w:r>
            <w:r>
              <w:rPr>
                <w:rFonts w:hint="eastAsia" w:ascii="宋体" w:hAnsi="宋体"/>
                <w:b/>
                <w:szCs w:val="21"/>
              </w:rPr>
              <w:t>年.</w:t>
            </w:r>
          </w:p>
        </w:tc>
      </w:tr>
    </w:tbl>
    <w:p>
      <w:pPr>
        <w:pStyle w:val="3"/>
        <w:rPr>
          <w:b/>
          <w:bCs/>
          <w:color w:val="FF0000"/>
        </w:rPr>
      </w:pPr>
      <w:r>
        <w:rPr>
          <w:rFonts w:hint="eastAsia"/>
        </w:rPr>
        <w:t>二、课程简介</w:t>
      </w:r>
    </w:p>
    <w:p>
      <w:pPr>
        <w:pStyle w:val="9"/>
        <w:spacing w:line="360" w:lineRule="auto"/>
        <w:rPr>
          <w:color w:val="auto"/>
          <w:szCs w:val="21"/>
        </w:rPr>
      </w:pPr>
      <w:r>
        <w:rPr>
          <w:rFonts w:hint="eastAsia"/>
          <w:color w:val="auto"/>
          <w:szCs w:val="21"/>
        </w:rPr>
        <w:t>党的十八大以来，党中央、国务院高度重视生态文明建设和环境保护，将生态文明建设纳入“五位一体”总体布局，并提出创新、协调、绿色、开放、共享五大发展理念。同时，践行习近平总书记提出的“绿水青山就是金山银山”的理念已经成为我国各行各业的共识，与共同努力的目标。发展绿色经济，实现人与自然的和谐统一，为我国实现中华民族伟大复兴，实现中国梦，提供了重要的契机与可能。</w:t>
      </w:r>
    </w:p>
    <w:p>
      <w:pPr>
        <w:pStyle w:val="9"/>
        <w:spacing w:line="360" w:lineRule="auto"/>
        <w:rPr>
          <w:color w:val="auto"/>
          <w:szCs w:val="21"/>
        </w:rPr>
      </w:pPr>
      <w:r>
        <w:rPr>
          <w:rFonts w:hint="eastAsia"/>
          <w:color w:val="auto"/>
          <w:szCs w:val="21"/>
        </w:rPr>
        <w:t>保护生态环境就是保护人民的福祉、就是保护人民的生存权、就是我国经济的可持续发展的生态与资源保障，就是保障下一代的生存与发展，进而保障我们国家与民族的昌盛与永续。因此，保护生态环境被写入宪法，保护环境成为我国的基本国策。</w:t>
      </w:r>
    </w:p>
    <w:p>
      <w:pPr>
        <w:pStyle w:val="9"/>
        <w:spacing w:line="360" w:lineRule="auto"/>
        <w:rPr>
          <w:color w:val="auto"/>
          <w:szCs w:val="21"/>
        </w:rPr>
      </w:pPr>
      <w:r>
        <w:rPr>
          <w:rFonts w:hint="eastAsia"/>
          <w:color w:val="auto"/>
          <w:szCs w:val="21"/>
        </w:rPr>
        <w:t>环境资源法学，是在环境科学基础上产生，发展起来的新的法律分值学科，具有边缘学科的性质，同时也在法学体系中居于重要地位。环境与资源法的立法、执法、司法与守法活动的有效执行，为我国打赢生态环境保护攻坚战，为保卫我国的绿水蓝天提供了强有的法律保障。</w:t>
      </w:r>
    </w:p>
    <w:p>
      <w:pPr>
        <w:pStyle w:val="9"/>
        <w:spacing w:line="360" w:lineRule="auto"/>
        <w:rPr>
          <w:color w:val="auto"/>
          <w:szCs w:val="21"/>
        </w:rPr>
      </w:pPr>
      <w:r>
        <w:rPr>
          <w:rFonts w:hint="eastAsia"/>
          <w:color w:val="auto"/>
          <w:szCs w:val="21"/>
        </w:rPr>
        <w:t>本课程“环境资源法学”介绍环境与资源法的概念、产生、发展，探讨环境利用法律关系，环境与资源法的体系、环境立法问题，指出我国环境与资源法的基本原则，环境保护的基本法律制度、自然资源保护的基本法律制度以及环境标准制度，明确了国家对环境与资源保护管理的概念、原则、范围和管理机构，为进一步学习环境污染防治法和自然资源保护法以及国际环境与资源法学奠定基础。</w:t>
      </w:r>
    </w:p>
    <w:p>
      <w:pPr>
        <w:pStyle w:val="3"/>
        <w:rPr>
          <w:b/>
        </w:rPr>
      </w:pPr>
      <w:r>
        <w:rPr>
          <w:rFonts w:hint="eastAsia"/>
        </w:rPr>
        <w:t>三、课程目标</w:t>
      </w:r>
    </w:p>
    <w:p>
      <w:pPr>
        <w:pStyle w:val="9"/>
        <w:spacing w:line="360" w:lineRule="auto"/>
        <w:rPr>
          <w:color w:val="auto"/>
        </w:rPr>
      </w:pPr>
      <w:r>
        <w:rPr>
          <w:rFonts w:hint="eastAsia"/>
          <w:color w:val="auto"/>
        </w:rPr>
        <w:t>1.</w:t>
      </w:r>
      <w:r>
        <w:rPr>
          <w:rFonts w:hint="eastAsia"/>
          <w:color w:val="auto"/>
        </w:rPr>
        <w:tab/>
      </w:r>
      <w:r>
        <w:rPr>
          <w:rFonts w:hint="eastAsia"/>
          <w:color w:val="auto"/>
        </w:rPr>
        <w:t>培养学生的质疑精神，以及发现问题、分析问题与解决问题的能力。</w:t>
      </w:r>
    </w:p>
    <w:p>
      <w:pPr>
        <w:pStyle w:val="9"/>
        <w:spacing w:line="360" w:lineRule="auto"/>
        <w:rPr>
          <w:color w:val="auto"/>
        </w:rPr>
      </w:pPr>
      <w:r>
        <w:rPr>
          <w:rFonts w:hint="eastAsia"/>
          <w:color w:val="auto"/>
        </w:rPr>
        <w:t>2.</w:t>
      </w:r>
      <w:r>
        <w:rPr>
          <w:rFonts w:hint="eastAsia"/>
          <w:color w:val="auto"/>
        </w:rPr>
        <w:tab/>
      </w:r>
      <w:r>
        <w:rPr>
          <w:rFonts w:hint="eastAsia"/>
          <w:color w:val="auto"/>
        </w:rPr>
        <w:t>培养学生的法学学习的基本能力与素质，为终身学习构建良好的学习习惯与知识基础。</w:t>
      </w:r>
    </w:p>
    <w:p>
      <w:pPr>
        <w:pStyle w:val="9"/>
        <w:spacing w:line="360" w:lineRule="auto"/>
        <w:rPr>
          <w:color w:val="auto"/>
        </w:rPr>
      </w:pPr>
      <w:r>
        <w:rPr>
          <w:rFonts w:hint="eastAsia"/>
          <w:color w:val="auto"/>
        </w:rPr>
        <w:t>3.</w:t>
      </w:r>
      <w:r>
        <w:rPr>
          <w:rFonts w:hint="eastAsia"/>
          <w:color w:val="auto"/>
        </w:rPr>
        <w:tab/>
      </w:r>
      <w:r>
        <w:rPr>
          <w:rFonts w:hint="eastAsia"/>
          <w:color w:val="auto"/>
        </w:rPr>
        <w:t>培养学生对法律法规、司法解释以及案例的快速、准确地检索能力以及读解、分析与应用能力。</w:t>
      </w:r>
    </w:p>
    <w:p>
      <w:pPr>
        <w:pStyle w:val="9"/>
        <w:spacing w:line="360" w:lineRule="auto"/>
        <w:rPr>
          <w:color w:val="auto"/>
        </w:rPr>
      </w:pPr>
      <w:r>
        <w:rPr>
          <w:rFonts w:hint="eastAsia"/>
          <w:color w:val="auto"/>
        </w:rPr>
        <w:t>4.</w:t>
      </w:r>
      <w:r>
        <w:rPr>
          <w:rFonts w:hint="eastAsia"/>
          <w:color w:val="auto"/>
        </w:rPr>
        <w:tab/>
      </w:r>
      <w:r>
        <w:rPr>
          <w:rFonts w:hint="eastAsia"/>
          <w:color w:val="auto"/>
        </w:rPr>
        <w:t>培养学生对环境与资源保护法学的兴趣、其基本宗旨、原则以及基础内容的认知与理解，为进一步学习打下良好的知识基础。</w:t>
      </w:r>
    </w:p>
    <w:p>
      <w:pPr>
        <w:pStyle w:val="9"/>
        <w:spacing w:line="360" w:lineRule="auto"/>
        <w:rPr>
          <w:color w:val="auto"/>
        </w:rPr>
      </w:pPr>
      <w:r>
        <w:rPr>
          <w:rFonts w:hint="eastAsia"/>
          <w:color w:val="auto"/>
        </w:rPr>
        <w:t>5.</w:t>
      </w:r>
      <w:r>
        <w:rPr>
          <w:rFonts w:hint="eastAsia"/>
          <w:color w:val="auto"/>
        </w:rPr>
        <w:tab/>
      </w:r>
      <w:r>
        <w:rPr>
          <w:rFonts w:hint="eastAsia"/>
          <w:color w:val="auto"/>
        </w:rPr>
        <w:t>梳理环境与资源法学中的知识重点，通过作业与讨论强化对学习重点问题的理解。</w:t>
      </w:r>
    </w:p>
    <w:p>
      <w:pPr>
        <w:pStyle w:val="9"/>
        <w:spacing w:line="360" w:lineRule="auto"/>
        <w:rPr>
          <w:color w:val="auto"/>
        </w:rPr>
      </w:pPr>
      <w:r>
        <w:rPr>
          <w:rFonts w:hint="eastAsia"/>
          <w:color w:val="auto"/>
        </w:rPr>
        <w:t>6.</w:t>
      </w:r>
      <w:r>
        <w:rPr>
          <w:rFonts w:hint="eastAsia"/>
          <w:color w:val="auto"/>
        </w:rPr>
        <w:tab/>
      </w:r>
      <w:r>
        <w:rPr>
          <w:rFonts w:hint="eastAsia"/>
          <w:color w:val="auto"/>
        </w:rPr>
        <w:t>通过理论考试与案例、法律实务的结合，提升学生理论与实践结合的能力，并更好地理解法律法规的具体应用。</w:t>
      </w:r>
    </w:p>
    <w:p>
      <w:pPr>
        <w:pStyle w:val="9"/>
        <w:spacing w:line="360" w:lineRule="auto"/>
        <w:ind w:firstLineChars="0"/>
        <w:rPr>
          <w:color w:val="auto"/>
        </w:rPr>
      </w:pPr>
      <w:r>
        <w:rPr>
          <w:rFonts w:hint="eastAsia"/>
          <w:color w:val="auto"/>
        </w:rPr>
        <w:t>7.</w:t>
      </w:r>
      <w:r>
        <w:rPr>
          <w:rFonts w:hint="eastAsia"/>
          <w:color w:val="auto"/>
        </w:rPr>
        <w:tab/>
      </w:r>
      <w:r>
        <w:rPr>
          <w:rFonts w:hint="eastAsia"/>
          <w:color w:val="auto"/>
        </w:rPr>
        <w:t>通过与思政考试内容相结合，增强学生们的民族自豪感、文化自信与爱国情操。提升对党和中央在生态文明建设、绿色经济以及美丽中国等方面大政方针、付出的努力以及取得的伟大成绩的了解与认同。</w:t>
      </w:r>
    </w:p>
    <w:p>
      <w:pPr>
        <w:pStyle w:val="3"/>
        <w:rPr>
          <w:b/>
        </w:rPr>
      </w:pPr>
      <w:r>
        <w:rPr>
          <w:rFonts w:hint="eastAsia"/>
        </w:rPr>
        <w:t>四、</w:t>
      </w:r>
      <w:r>
        <w:rPr>
          <w:rFonts w:hint="eastAsia"/>
          <w:b/>
        </w:rPr>
        <w:t>考试内容、重点难点</w:t>
      </w:r>
    </w:p>
    <w:p>
      <w:pPr>
        <w:pStyle w:val="4"/>
        <w:spacing w:line="300" w:lineRule="auto"/>
        <w:jc w:val="center"/>
        <w:rPr>
          <w:rFonts w:ascii="Times New Roman" w:hAnsi="宋体"/>
          <w:b/>
          <w:bCs/>
        </w:rPr>
      </w:pPr>
      <w:r>
        <w:rPr>
          <w:rFonts w:hint="eastAsia" w:ascii="Times New Roman" w:hAnsi="宋体"/>
          <w:b/>
          <w:bCs/>
        </w:rPr>
        <w:t>第一编 环境法学总论</w:t>
      </w: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第一章 环境法概述</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环境法的概念</w:t>
      </w:r>
    </w:p>
    <w:p>
      <w:pPr>
        <w:pStyle w:val="4"/>
        <w:spacing w:line="300" w:lineRule="auto"/>
        <w:rPr>
          <w:rFonts w:ascii="Times New Roman" w:hAnsi="宋体"/>
        </w:rPr>
      </w:pPr>
      <w:r>
        <w:rPr>
          <w:rFonts w:hint="eastAsia" w:ascii="Times New Roman" w:hAnsi="宋体"/>
        </w:rPr>
        <w:t>第二节  环境法的创制、发展和完善</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环境法的定义和特征</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环境法的渊源和分类</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环境法的目的</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外国环境法发展的历史</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我国建国前的自然保护思想和自然资源管理立法</w:t>
      </w:r>
    </w:p>
    <w:p>
      <w:pPr>
        <w:pStyle w:val="4"/>
        <w:spacing w:line="300" w:lineRule="auto"/>
        <w:rPr>
          <w:rFonts w:ascii="Times New Roman" w:hAnsi="宋体"/>
        </w:rPr>
      </w:pPr>
      <w:r>
        <w:rPr>
          <w:rFonts w:hint="eastAsia" w:ascii="Times New Roman" w:hAnsi="宋体"/>
        </w:rPr>
        <w:t>6.</w:t>
      </w:r>
      <w:r>
        <w:rPr>
          <w:rFonts w:hint="eastAsia" w:ascii="Times New Roman" w:hAnsi="宋体"/>
        </w:rPr>
        <w:tab/>
      </w:r>
      <w:r>
        <w:rPr>
          <w:rFonts w:hint="eastAsia" w:ascii="Times New Roman" w:hAnsi="宋体"/>
        </w:rPr>
        <w:t>我国建国后环境法的创制、发展与完善</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环境法的独特性质，环境法在不同标准下的类别、环境法的目的和任务、外国以及我国环境法的历史发展路径。</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环境法的目的和任务</w:t>
      </w:r>
    </w:p>
    <w:p>
      <w:pPr>
        <w:pStyle w:val="4"/>
        <w:spacing w:line="300" w:lineRule="auto"/>
        <w:rPr>
          <w:rFonts w:ascii="Times New Roman" w:hAnsi="宋体"/>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第二章  环境法的基本原则</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预防原则</w:t>
      </w:r>
    </w:p>
    <w:p>
      <w:pPr>
        <w:pStyle w:val="4"/>
        <w:spacing w:line="300" w:lineRule="auto"/>
        <w:rPr>
          <w:rFonts w:ascii="Times New Roman" w:hAnsi="宋体"/>
        </w:rPr>
      </w:pPr>
      <w:r>
        <w:rPr>
          <w:rFonts w:hint="eastAsia" w:ascii="Times New Roman" w:hAnsi="宋体"/>
        </w:rPr>
        <w:t>第二节  协调发展原则</w:t>
      </w:r>
    </w:p>
    <w:p>
      <w:pPr>
        <w:pStyle w:val="4"/>
        <w:spacing w:line="300" w:lineRule="auto"/>
        <w:rPr>
          <w:rFonts w:ascii="Times New Roman" w:hAnsi="宋体"/>
        </w:rPr>
      </w:pPr>
      <w:r>
        <w:rPr>
          <w:rFonts w:hint="eastAsia" w:ascii="Times New Roman" w:hAnsi="宋体"/>
        </w:rPr>
        <w:t>第三节  原因者负担原则</w:t>
      </w:r>
    </w:p>
    <w:p>
      <w:pPr>
        <w:pStyle w:val="4"/>
        <w:spacing w:line="300" w:lineRule="auto"/>
        <w:rPr>
          <w:rFonts w:ascii="Times New Roman" w:hAnsi="宋体"/>
        </w:rPr>
      </w:pPr>
      <w:r>
        <w:rPr>
          <w:rFonts w:hint="eastAsia" w:ascii="Times New Roman" w:hAnsi="宋体"/>
        </w:rPr>
        <w:t>第四节  公众参与原则</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预防原则的定义与具体适用</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协调发展原则的定义与具体适用</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原因者负担原则的定义与具体适用</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公众参与原则的定义与具体适用</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环境法各个原则的内容与具体适用、资源权的概念、环境法各个原则的贯彻</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原因者负担原则的定义与具体适用</w:t>
      </w:r>
    </w:p>
    <w:p>
      <w:pPr>
        <w:pStyle w:val="4"/>
        <w:spacing w:line="300" w:lineRule="auto"/>
        <w:rPr>
          <w:rFonts w:ascii="Times New Roman" w:hAnsi="宋体"/>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第三章  环境利用行为的主体及其权利义务</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环境利用行为与环境法律关系</w:t>
      </w:r>
    </w:p>
    <w:p>
      <w:pPr>
        <w:pStyle w:val="4"/>
        <w:spacing w:line="300" w:lineRule="auto"/>
        <w:rPr>
          <w:rFonts w:ascii="Times New Roman" w:hAnsi="宋体"/>
        </w:rPr>
      </w:pPr>
      <w:r>
        <w:rPr>
          <w:rFonts w:hint="eastAsia" w:ascii="Times New Roman" w:hAnsi="宋体"/>
        </w:rPr>
        <w:t>第二节  公民（自然人）与公众</w:t>
      </w:r>
    </w:p>
    <w:p>
      <w:pPr>
        <w:pStyle w:val="4"/>
        <w:spacing w:line="300" w:lineRule="auto"/>
        <w:rPr>
          <w:rFonts w:ascii="Times New Roman" w:hAnsi="宋体"/>
        </w:rPr>
      </w:pPr>
      <w:r>
        <w:rPr>
          <w:rFonts w:hint="eastAsia" w:ascii="Times New Roman" w:hAnsi="宋体"/>
        </w:rPr>
        <w:t>第三节  开发利用行为人</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 xml:space="preserve">环境利用行为与环境法律关系 </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公民（自然人）、公众与环境保护组织的概念</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公众的环境权益、公民的环境保护义务的基本内容</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开发利用人的一般权利与义务的基本内容</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开发利用人的环境社会责任的具体内容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环境利用行为的概念和分类以及环境关系理论对环境法主体研究的意义、公众的概念主体以及公众的环境权益、开发利用人的一般权利和义务及其社会责任</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开发利用人的一般权利和义务及其社会责任</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第四章  国家的环境保护义务</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国家环境保护义务概述</w:t>
      </w:r>
    </w:p>
    <w:p>
      <w:pPr>
        <w:pStyle w:val="4"/>
        <w:spacing w:line="300" w:lineRule="auto"/>
        <w:rPr>
          <w:rFonts w:ascii="Times New Roman" w:hAnsi="宋体"/>
        </w:rPr>
      </w:pPr>
      <w:r>
        <w:rPr>
          <w:rFonts w:hint="eastAsia" w:ascii="Times New Roman" w:hAnsi="宋体"/>
        </w:rPr>
        <w:t>第二节　环境行政</w:t>
      </w:r>
    </w:p>
    <w:p>
      <w:pPr>
        <w:pStyle w:val="4"/>
        <w:spacing w:line="300" w:lineRule="auto"/>
        <w:rPr>
          <w:rFonts w:ascii="Times New Roman" w:hAnsi="宋体"/>
        </w:rPr>
      </w:pPr>
      <w:r>
        <w:rPr>
          <w:rFonts w:hint="eastAsia" w:ascii="Times New Roman" w:hAnsi="宋体"/>
        </w:rPr>
        <w:t>第三节　环境司法</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国家环境保护义务的具体内容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环境行政的基本内容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环境司法的基本内容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国家的环境保护义务及政策手段；政府在环境与资源保护方面的基本职能与管理手段；人民法院和检察机关在开展环境审判和环境检察时的职能</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人民法院和检察机关在开展环境审判和环境检察时的职能</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第五章  环境基本法与综合性环境法律制度</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概述</w:t>
      </w:r>
    </w:p>
    <w:p>
      <w:pPr>
        <w:pStyle w:val="4"/>
        <w:spacing w:line="300" w:lineRule="auto"/>
        <w:rPr>
          <w:rFonts w:ascii="Times New Roman" w:hAnsi="宋体"/>
        </w:rPr>
      </w:pPr>
      <w:r>
        <w:rPr>
          <w:rFonts w:hint="eastAsia" w:ascii="Times New Roman" w:hAnsi="宋体"/>
        </w:rPr>
        <w:t xml:space="preserve">第二节　环境标准 </w:t>
      </w:r>
    </w:p>
    <w:p>
      <w:pPr>
        <w:pStyle w:val="4"/>
        <w:spacing w:line="300" w:lineRule="auto"/>
        <w:rPr>
          <w:rFonts w:ascii="Times New Roman" w:hAnsi="宋体"/>
        </w:rPr>
      </w:pPr>
      <w:r>
        <w:rPr>
          <w:rFonts w:hint="eastAsia" w:ascii="Times New Roman" w:hAnsi="宋体"/>
        </w:rPr>
        <w:t xml:space="preserve">第三节  环境规划 </w:t>
      </w:r>
    </w:p>
    <w:p>
      <w:pPr>
        <w:pStyle w:val="4"/>
        <w:spacing w:line="300" w:lineRule="auto"/>
        <w:rPr>
          <w:rFonts w:ascii="Times New Roman" w:hAnsi="宋体"/>
        </w:rPr>
      </w:pPr>
      <w:r>
        <w:rPr>
          <w:rFonts w:hint="eastAsia" w:ascii="Times New Roman" w:hAnsi="宋体"/>
        </w:rPr>
        <w:t>第四节  环境影响评价</w:t>
      </w:r>
    </w:p>
    <w:p>
      <w:pPr>
        <w:pStyle w:val="4"/>
        <w:spacing w:line="300" w:lineRule="auto"/>
        <w:rPr>
          <w:rFonts w:ascii="Times New Roman" w:hAnsi="宋体"/>
        </w:rPr>
      </w:pPr>
      <w:r>
        <w:rPr>
          <w:rFonts w:hint="eastAsia" w:ascii="Times New Roman" w:hAnsi="宋体"/>
        </w:rPr>
        <w:t xml:space="preserve">第五节  环境费和环境税 </w:t>
      </w:r>
    </w:p>
    <w:p>
      <w:pPr>
        <w:pStyle w:val="4"/>
        <w:spacing w:line="300" w:lineRule="auto"/>
        <w:rPr>
          <w:rFonts w:ascii="Times New Roman" w:hAnsi="宋体"/>
        </w:rPr>
      </w:pPr>
      <w:r>
        <w:rPr>
          <w:rFonts w:hint="eastAsia" w:ascii="Times New Roman" w:hAnsi="宋体"/>
        </w:rPr>
        <w:t xml:space="preserve">第六节  突发环境事件应急 </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环境标准制度的基本内容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环境规划制度的基本内容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环境影响评价制度的基本内容</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环境费和环境税制度的基本内容</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突发环境事件应急制度的基本内容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环境法体系的内涵；环境标准的分类；其他法律中有关环境保护的法律法规。</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环境税制度的基本内容</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jc w:val="center"/>
        <w:rPr>
          <w:rFonts w:ascii="Times New Roman" w:hAnsi="宋体"/>
          <w:b/>
          <w:bCs/>
        </w:rPr>
      </w:pPr>
      <w:r>
        <w:rPr>
          <w:rFonts w:hint="eastAsia" w:ascii="Times New Roman" w:hAnsi="宋体"/>
          <w:b/>
          <w:bCs/>
        </w:rPr>
        <w:t>第二编 污染控制法</w:t>
      </w: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第六章  污染控制法概述</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环境污染的概念与特征</w:t>
      </w:r>
    </w:p>
    <w:p>
      <w:pPr>
        <w:pStyle w:val="4"/>
        <w:spacing w:line="300" w:lineRule="auto"/>
        <w:rPr>
          <w:rFonts w:ascii="Times New Roman" w:hAnsi="宋体"/>
        </w:rPr>
      </w:pPr>
      <w:r>
        <w:rPr>
          <w:rFonts w:hint="eastAsia" w:ascii="Times New Roman" w:hAnsi="宋体"/>
        </w:rPr>
        <w:t>第二节　污染控制法及其制度体系</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环境污染的概念、特征</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污染物的定义与污染类型的具体内容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污染控制法的概念、特征</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污染控制法的制度体系</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污染控制法的含义与特点；污染控制法的制度设计与分类</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排污许可与排污权交易</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第七章 环境污染防治法</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大气污染防治法</w:t>
      </w:r>
    </w:p>
    <w:p>
      <w:pPr>
        <w:pStyle w:val="4"/>
        <w:spacing w:line="300" w:lineRule="auto"/>
        <w:rPr>
          <w:rFonts w:ascii="Times New Roman" w:hAnsi="宋体"/>
        </w:rPr>
      </w:pPr>
      <w:r>
        <w:rPr>
          <w:rFonts w:hint="eastAsia" w:ascii="Times New Roman" w:hAnsi="宋体"/>
        </w:rPr>
        <w:t>第二节　水污染防治法</w:t>
      </w:r>
    </w:p>
    <w:p>
      <w:pPr>
        <w:pStyle w:val="4"/>
        <w:spacing w:line="300" w:lineRule="auto"/>
        <w:rPr>
          <w:rFonts w:ascii="Times New Roman" w:hAnsi="宋体"/>
        </w:rPr>
      </w:pPr>
      <w:r>
        <w:rPr>
          <w:rFonts w:hint="eastAsia" w:ascii="Times New Roman" w:hAnsi="宋体"/>
        </w:rPr>
        <w:t>第三节　海洋污染防治法</w:t>
      </w:r>
    </w:p>
    <w:p>
      <w:pPr>
        <w:pStyle w:val="4"/>
        <w:spacing w:line="300" w:lineRule="auto"/>
        <w:rPr>
          <w:rFonts w:ascii="Times New Roman" w:hAnsi="宋体"/>
        </w:rPr>
      </w:pPr>
      <w:r>
        <w:rPr>
          <w:rFonts w:hint="eastAsia" w:ascii="Times New Roman" w:hAnsi="宋体"/>
        </w:rPr>
        <w:t>第四节　土壤污染防治</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大气污染防治法的基本内容；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水污染防治法的基本内容；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海洋污染防治法的基本内容；</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土壤污染防治法的基本内容；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大气污染、水污染、海洋污染以及土壤污染的概念和历史沿革；大气污染、水污染、海洋污染以及土壤污染防治过程中的一般措施和特别规定。</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大气、水、海洋以及土壤污染防治过程中的一般措施和特别规定</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第八章  物质循环与化学物质环境风险管理法</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物质循环管理法概述</w:t>
      </w:r>
    </w:p>
    <w:p>
      <w:pPr>
        <w:pStyle w:val="4"/>
        <w:spacing w:line="300" w:lineRule="auto"/>
        <w:rPr>
          <w:rFonts w:ascii="Times New Roman" w:hAnsi="宋体"/>
        </w:rPr>
      </w:pPr>
      <w:r>
        <w:rPr>
          <w:rFonts w:hint="eastAsia" w:ascii="Times New Roman" w:hAnsi="宋体"/>
        </w:rPr>
        <w:t>第二节  固体废物管理的制度措施</w:t>
      </w:r>
    </w:p>
    <w:p>
      <w:pPr>
        <w:pStyle w:val="4"/>
        <w:spacing w:line="300" w:lineRule="auto"/>
        <w:rPr>
          <w:rFonts w:ascii="Times New Roman" w:hAnsi="宋体"/>
        </w:rPr>
      </w:pPr>
      <w:r>
        <w:rPr>
          <w:rFonts w:hint="eastAsia" w:ascii="Times New Roman" w:hAnsi="宋体"/>
        </w:rPr>
        <w:t>第三节  促进清洁生产和循环经济的制度措施</w:t>
      </w:r>
    </w:p>
    <w:p>
      <w:pPr>
        <w:pStyle w:val="4"/>
        <w:spacing w:line="300" w:lineRule="auto"/>
        <w:rPr>
          <w:rFonts w:ascii="Times New Roman" w:hAnsi="宋体"/>
        </w:rPr>
      </w:pPr>
      <w:r>
        <w:rPr>
          <w:rFonts w:hint="eastAsia" w:ascii="Times New Roman" w:hAnsi="宋体"/>
        </w:rPr>
        <w:t>第四节  化学物质环境风险管理的制度措施</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物质循环管理法的基本内容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固体废物管理的制度的基本内容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促进清洁生产和循环经济的制度的基本内容</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化学物质环境风险管理的制度的基本内容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我国物质循环管理立法的内容和主要措施；我国《固体废物污染环境防治法》的主要规定；我国循环经济促进的基本制度；我国化学物质环境风险管理的具体措施。</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循环经济促进的基本制度</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第九章 能量危害防除法</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环境噪声与振动控制法</w:t>
      </w:r>
    </w:p>
    <w:p>
      <w:pPr>
        <w:pStyle w:val="4"/>
        <w:spacing w:line="300" w:lineRule="auto"/>
        <w:rPr>
          <w:rFonts w:ascii="Times New Roman" w:hAnsi="宋体"/>
        </w:rPr>
      </w:pPr>
      <w:r>
        <w:rPr>
          <w:rFonts w:hint="eastAsia" w:ascii="Times New Roman" w:hAnsi="宋体"/>
        </w:rPr>
        <w:t>第二节  放射性污染防控与核安全法</w:t>
      </w:r>
    </w:p>
    <w:p>
      <w:pPr>
        <w:pStyle w:val="4"/>
        <w:spacing w:line="300" w:lineRule="auto"/>
        <w:rPr>
          <w:rFonts w:ascii="Times New Roman" w:hAnsi="宋体"/>
        </w:rPr>
      </w:pPr>
      <w:r>
        <w:rPr>
          <w:rFonts w:hint="eastAsia" w:ascii="Times New Roman" w:hAnsi="宋体"/>
        </w:rPr>
        <w:t>第三节  其他能量流污染危害的法律控制</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环境噪声与振动控制法的基本内容；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放射性污染防控与核安全法的基本内容；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其他能量流污染危害的法律的基本内容；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我国对能量流污染防治立法的主要内容和措施；相邻妨害的构成条件及实践知识。</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环境噪声污染防治的主要法律制度内容</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jc w:val="center"/>
        <w:rPr>
          <w:rFonts w:ascii="Times New Roman" w:hAnsi="宋体"/>
          <w:b/>
          <w:bCs/>
        </w:rPr>
      </w:pPr>
      <w:r>
        <w:rPr>
          <w:rFonts w:hint="eastAsia" w:ascii="Times New Roman" w:hAnsi="宋体"/>
          <w:b/>
          <w:bCs/>
        </w:rPr>
        <w:t>第三编 自然保护法</w:t>
      </w: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第十章 自然保护法概述</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自然保护法概述</w:t>
      </w:r>
    </w:p>
    <w:p>
      <w:pPr>
        <w:pStyle w:val="4"/>
        <w:spacing w:line="300" w:lineRule="auto"/>
        <w:rPr>
          <w:rFonts w:ascii="Times New Roman" w:hAnsi="宋体"/>
        </w:rPr>
      </w:pPr>
      <w:r>
        <w:rPr>
          <w:rFonts w:hint="eastAsia" w:ascii="Times New Roman" w:hAnsi="宋体"/>
        </w:rPr>
        <w:t>第二节  自然保护法的制度体系</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自然保护的概念的具体内容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自然保护法的主要概念的具体内容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自然保护法的分类</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自然保护法的共同制度与措施的基本内容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有关自然资源保护的法律规定和案例</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有关自然资源保护的法律规定</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第十一章 自然地域和野生生物保护法</w:t>
      </w:r>
    </w:p>
    <w:p>
      <w:pPr>
        <w:pStyle w:val="4"/>
        <w:numPr>
          <w:ilvl w:val="0"/>
          <w:numId w:val="1"/>
        </w:numPr>
        <w:spacing w:line="300" w:lineRule="auto"/>
        <w:rPr>
          <w:rFonts w:ascii="Times New Roman" w:hAnsi="宋体"/>
        </w:rPr>
      </w:pPr>
      <w:r>
        <w:rPr>
          <w:rFonts w:hint="eastAsia" w:ascii="Times New Roman" w:hAnsi="宋体"/>
        </w:rPr>
        <w:t>考试内容：</w:t>
      </w:r>
    </w:p>
    <w:p>
      <w:pPr>
        <w:pStyle w:val="4"/>
        <w:spacing w:line="300" w:lineRule="auto"/>
        <w:rPr>
          <w:rFonts w:ascii="Times New Roman" w:hAnsi="宋体"/>
        </w:rPr>
      </w:pPr>
      <w:r>
        <w:rPr>
          <w:rFonts w:hint="eastAsia" w:ascii="Times New Roman" w:hAnsi="宋体"/>
        </w:rPr>
        <w:t>第一节 自然地域保护</w:t>
      </w:r>
    </w:p>
    <w:p>
      <w:pPr>
        <w:pStyle w:val="4"/>
        <w:spacing w:line="300" w:lineRule="auto"/>
        <w:rPr>
          <w:rFonts w:ascii="Times New Roman" w:hAnsi="宋体"/>
        </w:rPr>
      </w:pPr>
      <w:r>
        <w:rPr>
          <w:rFonts w:hint="eastAsia" w:ascii="Times New Roman" w:hAnsi="宋体"/>
        </w:rPr>
        <w:t>第二节 野生生物及其生境保护</w:t>
      </w:r>
    </w:p>
    <w:p>
      <w:pPr>
        <w:pStyle w:val="4"/>
        <w:spacing w:line="300" w:lineRule="auto"/>
        <w:rPr>
          <w:rFonts w:ascii="Times New Roman" w:hAnsi="宋体"/>
        </w:rPr>
      </w:pPr>
      <w:r>
        <w:rPr>
          <w:rFonts w:hint="eastAsia" w:ascii="Times New Roman" w:hAnsi="宋体"/>
        </w:rPr>
        <w:t>第三节 野生植物保护的制度措施</w:t>
      </w:r>
    </w:p>
    <w:p>
      <w:pPr>
        <w:pStyle w:val="4"/>
        <w:spacing w:line="300" w:lineRule="auto"/>
        <w:rPr>
          <w:rFonts w:ascii="Times New Roman" w:hAnsi="宋体"/>
        </w:rPr>
      </w:pPr>
      <w:r>
        <w:rPr>
          <w:rFonts w:hint="eastAsia" w:ascii="Times New Roman" w:hAnsi="宋体"/>
        </w:rPr>
        <w:t>第四节 对外来物种入侵的法律控制</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自然保护区制度的基本内容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风景名胜区与城市景观制度的基本内容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海洋生态、海域与海岛保护制度的基本内容</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野生生物及其生境的基本概念</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野生动物保护的制度的基本内容</w:t>
      </w:r>
    </w:p>
    <w:p>
      <w:pPr>
        <w:pStyle w:val="4"/>
        <w:spacing w:line="300" w:lineRule="auto"/>
        <w:rPr>
          <w:rFonts w:ascii="Times New Roman" w:hAnsi="宋体"/>
        </w:rPr>
      </w:pPr>
      <w:r>
        <w:rPr>
          <w:rFonts w:hint="eastAsia" w:ascii="Times New Roman" w:hAnsi="宋体"/>
        </w:rPr>
        <w:t>6.</w:t>
      </w:r>
      <w:r>
        <w:rPr>
          <w:rFonts w:hint="eastAsia" w:ascii="Times New Roman" w:hAnsi="宋体"/>
        </w:rPr>
        <w:tab/>
      </w:r>
      <w:r>
        <w:rPr>
          <w:rFonts w:hint="eastAsia" w:ascii="Times New Roman" w:hAnsi="宋体"/>
        </w:rPr>
        <w:t>野生植物保护的制度的基本内容</w:t>
      </w:r>
    </w:p>
    <w:p>
      <w:pPr>
        <w:pStyle w:val="4"/>
        <w:spacing w:line="300" w:lineRule="auto"/>
        <w:rPr>
          <w:rFonts w:ascii="Times New Roman" w:hAnsi="宋体"/>
        </w:rPr>
      </w:pPr>
      <w:r>
        <w:rPr>
          <w:rFonts w:hint="eastAsia" w:ascii="Times New Roman" w:hAnsi="宋体"/>
        </w:rPr>
        <w:t>7.</w:t>
      </w:r>
      <w:r>
        <w:rPr>
          <w:rFonts w:hint="eastAsia" w:ascii="Times New Roman" w:hAnsi="宋体"/>
        </w:rPr>
        <w:tab/>
      </w:r>
      <w:r>
        <w:rPr>
          <w:rFonts w:hint="eastAsia" w:ascii="Times New Roman" w:hAnsi="宋体"/>
        </w:rPr>
        <w:t>对外来物种入侵的法律控制制度的基本内容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自然保护区制度的基本内容；野生动物保护的制度的基本内容；野生植物保护的制度的基本内容；对外来物种入侵的法律控制制度的基本内容</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国家公园制度的基本内容</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第十二章 自然资源法中的自然保护措施</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自然资源法的概念</w:t>
      </w:r>
    </w:p>
    <w:p>
      <w:pPr>
        <w:pStyle w:val="4"/>
        <w:spacing w:line="300" w:lineRule="auto"/>
        <w:rPr>
          <w:rFonts w:ascii="Times New Roman" w:hAnsi="宋体"/>
        </w:rPr>
      </w:pPr>
      <w:r>
        <w:rPr>
          <w:rFonts w:hint="eastAsia" w:ascii="Times New Roman" w:hAnsi="宋体"/>
        </w:rPr>
        <w:t>第二节 自然资源法中的自然保护措施</w:t>
      </w:r>
    </w:p>
    <w:p>
      <w:pPr>
        <w:pStyle w:val="4"/>
        <w:spacing w:line="300" w:lineRule="auto"/>
        <w:rPr>
          <w:rFonts w:ascii="Times New Roman" w:hAnsi="宋体"/>
        </w:rPr>
      </w:pPr>
      <w:r>
        <w:rPr>
          <w:rFonts w:hint="eastAsia" w:ascii="Times New Roman" w:hAnsi="宋体"/>
        </w:rPr>
        <w:t>第三节 草原资源合理开发利用制度中的保护措施</w:t>
      </w:r>
    </w:p>
    <w:p>
      <w:pPr>
        <w:pStyle w:val="4"/>
        <w:spacing w:line="300" w:lineRule="auto"/>
        <w:rPr>
          <w:rFonts w:ascii="Times New Roman" w:hAnsi="宋体"/>
        </w:rPr>
      </w:pPr>
      <w:r>
        <w:rPr>
          <w:rFonts w:hint="eastAsia" w:ascii="Times New Roman" w:hAnsi="宋体"/>
        </w:rPr>
        <w:t>第四节 水资源合理开发利用制度中的保护措施</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自然资源立法与权益保护的基本内容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自然资源及其法律保护的特有原则的基本内容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自然资源使用权的行使与自然保护的关系</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土地资源合理开发利用制度中的保护措施基本内容</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森林资源合理开发利用制度中的保护措施基本内容</w:t>
      </w:r>
    </w:p>
    <w:p>
      <w:pPr>
        <w:pStyle w:val="4"/>
        <w:spacing w:line="300" w:lineRule="auto"/>
        <w:rPr>
          <w:rFonts w:ascii="Times New Roman" w:hAnsi="宋体"/>
        </w:rPr>
      </w:pPr>
      <w:r>
        <w:rPr>
          <w:rFonts w:hint="eastAsia" w:ascii="Times New Roman" w:hAnsi="宋体"/>
        </w:rPr>
        <w:t>6.</w:t>
      </w:r>
      <w:r>
        <w:rPr>
          <w:rFonts w:hint="eastAsia" w:ascii="Times New Roman" w:hAnsi="宋体"/>
        </w:rPr>
        <w:tab/>
      </w:r>
      <w:r>
        <w:rPr>
          <w:rFonts w:hint="eastAsia" w:ascii="Times New Roman" w:hAnsi="宋体"/>
        </w:rPr>
        <w:t>草原资源合理开发利用制度中的保护措施基本内容</w:t>
      </w:r>
    </w:p>
    <w:p>
      <w:pPr>
        <w:pStyle w:val="4"/>
        <w:spacing w:line="300" w:lineRule="auto"/>
        <w:rPr>
          <w:rFonts w:ascii="Times New Roman" w:hAnsi="宋体"/>
        </w:rPr>
      </w:pPr>
      <w:r>
        <w:rPr>
          <w:rFonts w:hint="eastAsia" w:ascii="Times New Roman" w:hAnsi="宋体"/>
        </w:rPr>
        <w:t>7.</w:t>
      </w:r>
      <w:r>
        <w:rPr>
          <w:rFonts w:hint="eastAsia" w:ascii="Times New Roman" w:hAnsi="宋体"/>
        </w:rPr>
        <w:tab/>
      </w:r>
      <w:r>
        <w:rPr>
          <w:rFonts w:hint="eastAsia" w:ascii="Times New Roman" w:hAnsi="宋体"/>
        </w:rPr>
        <w:t>资源合理开发利用制度中的保护措施基本内容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自然资源及其法律保护的特有原则;《土地管理法》、《水土保持法》、《防沙治沙法》的主要规定;森林保护、草原保护以及水保护的主要措施。</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森林保护、草原保护以及水保护的主要措施</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jc w:val="center"/>
        <w:rPr>
          <w:rFonts w:ascii="Times New Roman" w:hAnsi="宋体"/>
          <w:b/>
          <w:bCs/>
        </w:rPr>
      </w:pPr>
      <w:r>
        <w:rPr>
          <w:rFonts w:hint="eastAsia" w:ascii="Times New Roman" w:hAnsi="宋体"/>
          <w:b/>
          <w:bCs/>
        </w:rPr>
        <w:t>第四编 环境责任法</w:t>
      </w: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第十三章 环境损害救济法</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概述</w:t>
      </w:r>
    </w:p>
    <w:p>
      <w:pPr>
        <w:pStyle w:val="4"/>
        <w:spacing w:line="300" w:lineRule="auto"/>
        <w:rPr>
          <w:rFonts w:ascii="Times New Roman" w:hAnsi="宋体"/>
        </w:rPr>
      </w:pPr>
      <w:r>
        <w:rPr>
          <w:rFonts w:hint="eastAsia" w:ascii="Times New Roman" w:hAnsi="宋体"/>
        </w:rPr>
        <w:t>第二节  环境损害责任的构成</w:t>
      </w:r>
    </w:p>
    <w:p>
      <w:pPr>
        <w:pStyle w:val="4"/>
        <w:spacing w:line="300" w:lineRule="auto"/>
        <w:rPr>
          <w:rFonts w:ascii="Times New Roman" w:hAnsi="宋体"/>
        </w:rPr>
      </w:pPr>
      <w:r>
        <w:rPr>
          <w:rFonts w:hint="eastAsia" w:ascii="Times New Roman" w:hAnsi="宋体"/>
        </w:rPr>
        <w:t>第三节  环境损害责任的承担</w:t>
      </w:r>
    </w:p>
    <w:p>
      <w:pPr>
        <w:pStyle w:val="4"/>
        <w:spacing w:line="300" w:lineRule="auto"/>
        <w:rPr>
          <w:rFonts w:ascii="Times New Roman" w:hAnsi="宋体"/>
        </w:rPr>
      </w:pPr>
      <w:r>
        <w:rPr>
          <w:rFonts w:hint="eastAsia" w:ascii="Times New Roman" w:hAnsi="宋体"/>
        </w:rPr>
        <w:t>第四节  环境纠纷的行政处理</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环境损害的概念、特征的具体内容</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对环境损害实行无过失责任的原因</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环境损害责任的构成要件</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环境损害责任的承担方式</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环境纠纷的行政处理的基本内容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环境损害的含义和特点；环境损害责任的构成条件和承担方式；环境损害诉讼的相关规定</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环境损害责任的构成条件</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第十四章 环境公益诉讼</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概述</w:t>
      </w:r>
    </w:p>
    <w:p>
      <w:pPr>
        <w:pStyle w:val="4"/>
        <w:spacing w:line="300" w:lineRule="auto"/>
        <w:rPr>
          <w:rFonts w:ascii="Times New Roman" w:hAnsi="宋体"/>
        </w:rPr>
      </w:pPr>
      <w:r>
        <w:rPr>
          <w:rFonts w:hint="eastAsia" w:ascii="Times New Roman" w:hAnsi="宋体"/>
        </w:rPr>
        <w:t>第二节  环境公益诉讼的实现方式</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环境公益诉讼的概念、环境公益诉讼兴起的缘由</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环境公益诉讼的特点以及公益诉讼的救济手段的基本内容</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环境民事公益诉讼的基本内容</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环境行政公益诉讼的基本内容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环境公益诉讼的实施方式；环境公益诉讼与其他诉讼之间的关系；环境民事公益诉讼与环境行政公益诉讼之间的关系</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环境民事公益诉讼与环境行政公益诉讼之间的关系</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第十五章 危害环境犯罪制裁法</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危害环境犯罪概述</w:t>
      </w:r>
    </w:p>
    <w:p>
      <w:pPr>
        <w:pStyle w:val="4"/>
        <w:spacing w:line="300" w:lineRule="auto"/>
        <w:rPr>
          <w:rFonts w:ascii="Times New Roman" w:hAnsi="宋体"/>
        </w:rPr>
      </w:pPr>
      <w:r>
        <w:rPr>
          <w:rFonts w:hint="eastAsia" w:ascii="Times New Roman" w:hAnsi="宋体"/>
        </w:rPr>
        <w:t>第二节  我国刑法有关破坏环境与资源保护罪的规定</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危害环境犯罪立法的理论与实践的基本情况；</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危害环境犯罪立法的意义</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我国刑法有关破坏环境与资源保护罪的规定的主要内容</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我国《刑法》中规定的“破坏环境与资源保护罪”的分类及意义；破坏自然资源保护的犯罪相关罪名之间的区别与联系。</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破坏自然资源保护的犯罪相关罪名之间的区别与联系</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jc w:val="center"/>
        <w:rPr>
          <w:rFonts w:ascii="Times New Roman" w:hAnsi="宋体"/>
          <w:b/>
          <w:bCs/>
        </w:rPr>
      </w:pPr>
      <w:r>
        <w:rPr>
          <w:rFonts w:hint="eastAsia" w:ascii="Times New Roman" w:hAnsi="宋体"/>
          <w:b/>
          <w:bCs/>
        </w:rPr>
        <w:t>第五编 中国与国际环境法</w:t>
      </w: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第十六章 国际环境法的一般原理（2学时）</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概述</w:t>
      </w:r>
    </w:p>
    <w:p>
      <w:pPr>
        <w:pStyle w:val="4"/>
        <w:spacing w:line="300" w:lineRule="auto"/>
        <w:rPr>
          <w:rFonts w:ascii="Times New Roman" w:hAnsi="宋体"/>
        </w:rPr>
      </w:pPr>
      <w:r>
        <w:rPr>
          <w:rFonts w:hint="eastAsia" w:ascii="Times New Roman" w:hAnsi="宋体"/>
        </w:rPr>
        <w:t>第二节  中国与国际环境法的实践</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国际环境法的概念；</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国际环境法律实践存在的问题</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中国应对全球环境问题的基本立场</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国际环境法在中国的适用的基本情况</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国际环境法的特点及发展过程；掌握国际环境法的基本原则；中国应当全球环境问题的立场。</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国际环境法的基本原则</w:t>
      </w:r>
    </w:p>
    <w:p>
      <w:pPr>
        <w:pStyle w:val="4"/>
        <w:spacing w:line="300" w:lineRule="auto"/>
        <w:rPr>
          <w:rFonts w:ascii="Times New Roman" w:hAnsi="宋体"/>
          <w:b/>
          <w:bCs/>
        </w:rPr>
      </w:pPr>
    </w:p>
    <w:p>
      <w:pPr>
        <w:pStyle w:val="4"/>
        <w:spacing w:line="300" w:lineRule="auto"/>
        <w:rPr>
          <w:rFonts w:ascii="Times New Roman" w:hAnsi="宋体"/>
          <w:b/>
          <w:bCs/>
        </w:rPr>
      </w:pPr>
    </w:p>
    <w:p>
      <w:pPr>
        <w:pStyle w:val="4"/>
        <w:spacing w:line="300" w:lineRule="auto"/>
        <w:rPr>
          <w:rFonts w:ascii="Times New Roman" w:hAnsi="宋体"/>
          <w:b/>
          <w:bCs/>
        </w:rPr>
      </w:pPr>
      <w:r>
        <w:rPr>
          <w:rFonts w:hint="eastAsia" w:ascii="Times New Roman" w:hAnsi="宋体"/>
          <w:b/>
          <w:bCs/>
        </w:rPr>
        <w:t>第十七章  国际环境法的主要内容</w:t>
      </w:r>
    </w:p>
    <w:p>
      <w:pPr>
        <w:pStyle w:val="4"/>
        <w:spacing w:line="300" w:lineRule="auto"/>
        <w:rPr>
          <w:rFonts w:ascii="Times New Roman" w:hAnsi="宋体"/>
        </w:rPr>
      </w:pPr>
      <w:r>
        <w:rPr>
          <w:rFonts w:hint="eastAsia" w:ascii="Times New Roman" w:hAnsi="宋体"/>
        </w:rPr>
        <w:t>一、考试内容：</w:t>
      </w:r>
    </w:p>
    <w:p>
      <w:pPr>
        <w:pStyle w:val="4"/>
        <w:spacing w:line="300" w:lineRule="auto"/>
        <w:rPr>
          <w:rFonts w:ascii="Times New Roman" w:hAnsi="宋体"/>
        </w:rPr>
      </w:pPr>
      <w:r>
        <w:rPr>
          <w:rFonts w:hint="eastAsia" w:ascii="Times New Roman" w:hAnsi="宋体"/>
        </w:rPr>
        <w:t>第一节  大气保护和气候变化应对</w:t>
      </w:r>
    </w:p>
    <w:p>
      <w:pPr>
        <w:pStyle w:val="4"/>
        <w:spacing w:line="300" w:lineRule="auto"/>
        <w:rPr>
          <w:rFonts w:ascii="Times New Roman" w:hAnsi="宋体"/>
        </w:rPr>
      </w:pPr>
      <w:r>
        <w:rPr>
          <w:rFonts w:hint="eastAsia" w:ascii="Times New Roman" w:hAnsi="宋体"/>
        </w:rPr>
        <w:t>第二节　海洋保护</w:t>
      </w:r>
    </w:p>
    <w:p>
      <w:pPr>
        <w:pStyle w:val="4"/>
        <w:spacing w:line="300" w:lineRule="auto"/>
        <w:rPr>
          <w:rFonts w:ascii="Times New Roman" w:hAnsi="宋体"/>
        </w:rPr>
      </w:pPr>
      <w:r>
        <w:rPr>
          <w:rFonts w:hint="eastAsia" w:ascii="Times New Roman" w:hAnsi="宋体"/>
        </w:rPr>
        <w:t>第三节  自然保护</w:t>
      </w:r>
    </w:p>
    <w:p>
      <w:pPr>
        <w:pStyle w:val="4"/>
        <w:spacing w:line="300" w:lineRule="auto"/>
        <w:rPr>
          <w:rFonts w:ascii="Times New Roman" w:hAnsi="宋体"/>
        </w:rPr>
      </w:pPr>
      <w:r>
        <w:rPr>
          <w:rFonts w:hint="eastAsia" w:ascii="Times New Roman" w:hAnsi="宋体"/>
        </w:rPr>
        <w:t>第四节  废弃物及危险物质管理</w:t>
      </w:r>
    </w:p>
    <w:p>
      <w:pPr>
        <w:pStyle w:val="4"/>
        <w:spacing w:line="300" w:lineRule="auto"/>
        <w:rPr>
          <w:rFonts w:ascii="Times New Roman" w:hAnsi="宋体"/>
        </w:rPr>
      </w:pPr>
      <w:r>
        <w:rPr>
          <w:rFonts w:hint="eastAsia" w:ascii="Times New Roman" w:hAnsi="宋体"/>
        </w:rPr>
        <w:t>第五节  贸易与环境</w:t>
      </w:r>
    </w:p>
    <w:p>
      <w:pPr>
        <w:pStyle w:val="4"/>
        <w:spacing w:line="300" w:lineRule="auto"/>
        <w:rPr>
          <w:rFonts w:ascii="Times New Roman" w:hAnsi="宋体"/>
        </w:rPr>
      </w:pPr>
    </w:p>
    <w:p>
      <w:pPr>
        <w:pStyle w:val="4"/>
        <w:spacing w:line="300" w:lineRule="auto"/>
        <w:rPr>
          <w:rFonts w:ascii="Times New Roman" w:hAnsi="宋体"/>
        </w:rPr>
      </w:pPr>
      <w:r>
        <w:rPr>
          <w:rFonts w:hint="eastAsia" w:ascii="Times New Roman" w:hAnsi="宋体"/>
        </w:rPr>
        <w:t>1.</w:t>
      </w:r>
      <w:r>
        <w:rPr>
          <w:rFonts w:hint="eastAsia" w:ascii="Times New Roman" w:hAnsi="宋体"/>
        </w:rPr>
        <w:tab/>
      </w:r>
      <w:r>
        <w:rPr>
          <w:rFonts w:hint="eastAsia" w:ascii="Times New Roman" w:hAnsi="宋体"/>
        </w:rPr>
        <w:t>国际大气保护和气候变化应对的基本情况</w:t>
      </w:r>
    </w:p>
    <w:p>
      <w:pPr>
        <w:pStyle w:val="4"/>
        <w:spacing w:line="300" w:lineRule="auto"/>
        <w:rPr>
          <w:rFonts w:ascii="Times New Roman" w:hAnsi="宋体"/>
        </w:rPr>
      </w:pPr>
      <w:r>
        <w:rPr>
          <w:rFonts w:hint="eastAsia" w:ascii="Times New Roman" w:hAnsi="宋体"/>
        </w:rPr>
        <w:t>2.</w:t>
      </w:r>
      <w:r>
        <w:rPr>
          <w:rFonts w:hint="eastAsia" w:ascii="Times New Roman" w:hAnsi="宋体"/>
        </w:rPr>
        <w:tab/>
      </w:r>
      <w:r>
        <w:rPr>
          <w:rFonts w:hint="eastAsia" w:ascii="Times New Roman" w:hAnsi="宋体"/>
        </w:rPr>
        <w:t>国际海洋保护的基本情况</w:t>
      </w:r>
    </w:p>
    <w:p>
      <w:pPr>
        <w:pStyle w:val="4"/>
        <w:spacing w:line="300" w:lineRule="auto"/>
        <w:rPr>
          <w:rFonts w:ascii="Times New Roman" w:hAnsi="宋体"/>
        </w:rPr>
      </w:pPr>
      <w:r>
        <w:rPr>
          <w:rFonts w:hint="eastAsia" w:ascii="Times New Roman" w:hAnsi="宋体"/>
        </w:rPr>
        <w:t>3.</w:t>
      </w:r>
      <w:r>
        <w:rPr>
          <w:rFonts w:hint="eastAsia" w:ascii="Times New Roman" w:hAnsi="宋体"/>
        </w:rPr>
        <w:tab/>
      </w:r>
      <w:r>
        <w:rPr>
          <w:rFonts w:hint="eastAsia" w:ascii="Times New Roman" w:hAnsi="宋体"/>
        </w:rPr>
        <w:t>国际自然保护的基本情况</w:t>
      </w:r>
    </w:p>
    <w:p>
      <w:pPr>
        <w:pStyle w:val="4"/>
        <w:spacing w:line="300" w:lineRule="auto"/>
        <w:rPr>
          <w:rFonts w:ascii="Times New Roman" w:hAnsi="宋体"/>
        </w:rPr>
      </w:pPr>
      <w:r>
        <w:rPr>
          <w:rFonts w:hint="eastAsia" w:ascii="Times New Roman" w:hAnsi="宋体"/>
        </w:rPr>
        <w:t>4.</w:t>
      </w:r>
      <w:r>
        <w:rPr>
          <w:rFonts w:hint="eastAsia" w:ascii="Times New Roman" w:hAnsi="宋体"/>
        </w:rPr>
        <w:tab/>
      </w:r>
      <w:r>
        <w:rPr>
          <w:rFonts w:hint="eastAsia" w:ascii="Times New Roman" w:hAnsi="宋体"/>
        </w:rPr>
        <w:t>国际废弃物及危险物质管理的基本情况</w:t>
      </w:r>
    </w:p>
    <w:p>
      <w:pPr>
        <w:pStyle w:val="4"/>
        <w:spacing w:line="300" w:lineRule="auto"/>
        <w:rPr>
          <w:rFonts w:ascii="Times New Roman" w:hAnsi="宋体"/>
        </w:rPr>
      </w:pPr>
      <w:r>
        <w:rPr>
          <w:rFonts w:hint="eastAsia" w:ascii="Times New Roman" w:hAnsi="宋体"/>
        </w:rPr>
        <w:t>5.</w:t>
      </w:r>
      <w:r>
        <w:rPr>
          <w:rFonts w:hint="eastAsia" w:ascii="Times New Roman" w:hAnsi="宋体"/>
        </w:rPr>
        <w:tab/>
      </w:r>
      <w:r>
        <w:rPr>
          <w:rFonts w:hint="eastAsia" w:ascii="Times New Roman" w:hAnsi="宋体"/>
        </w:rPr>
        <w:t>国际贸易与环境保护的关系</w:t>
      </w:r>
    </w:p>
    <w:p>
      <w:pPr>
        <w:pStyle w:val="4"/>
        <w:spacing w:line="300" w:lineRule="auto"/>
        <w:rPr>
          <w:rFonts w:ascii="Times New Roman" w:hAnsi="宋体"/>
          <w:b/>
          <w:bCs/>
        </w:rPr>
      </w:pPr>
    </w:p>
    <w:p>
      <w:pPr>
        <w:pStyle w:val="4"/>
        <w:spacing w:line="300" w:lineRule="auto"/>
        <w:rPr>
          <w:rFonts w:ascii="Times New Roman" w:hAnsi="宋体"/>
        </w:rPr>
      </w:pPr>
      <w:r>
        <w:rPr>
          <w:rFonts w:hint="eastAsia" w:ascii="Times New Roman" w:hAnsi="宋体"/>
        </w:rPr>
        <w:t>二、重点与难点：</w:t>
      </w:r>
    </w:p>
    <w:p>
      <w:pPr>
        <w:pStyle w:val="4"/>
        <w:spacing w:line="300" w:lineRule="auto"/>
        <w:rPr>
          <w:rFonts w:ascii="Times New Roman" w:hAnsi="宋体"/>
        </w:rPr>
      </w:pPr>
      <w:r>
        <w:rPr>
          <w:rFonts w:hint="eastAsia" w:ascii="Times New Roman" w:hAnsi="宋体"/>
        </w:rPr>
        <w:t>1、重点：</w:t>
      </w:r>
    </w:p>
    <w:p>
      <w:pPr>
        <w:pStyle w:val="4"/>
        <w:spacing w:line="300" w:lineRule="auto"/>
        <w:rPr>
          <w:rFonts w:ascii="Times New Roman" w:hAnsi="宋体"/>
        </w:rPr>
      </w:pPr>
      <w:r>
        <w:rPr>
          <w:rFonts w:hint="eastAsia" w:ascii="Times New Roman" w:hAnsi="宋体"/>
        </w:rPr>
        <w:t>臭氧层破坏、气候变化、海洋环境保护的主要国际立法；全球有关废弃物及危险物质管理、国际控制核能和平利用的立法；国际环境法与中国环境法在适用上的关系</w:t>
      </w:r>
    </w:p>
    <w:p>
      <w:pPr>
        <w:pStyle w:val="4"/>
        <w:spacing w:line="300" w:lineRule="auto"/>
        <w:rPr>
          <w:rFonts w:ascii="Times New Roman" w:hAnsi="宋体"/>
        </w:rPr>
      </w:pPr>
      <w:r>
        <w:rPr>
          <w:rFonts w:hint="eastAsia" w:ascii="Times New Roman" w:hAnsi="宋体"/>
        </w:rPr>
        <w:t>2、难点：</w:t>
      </w:r>
    </w:p>
    <w:p>
      <w:pPr>
        <w:pStyle w:val="4"/>
        <w:spacing w:line="300" w:lineRule="auto"/>
        <w:rPr>
          <w:rFonts w:ascii="Times New Roman" w:hAnsi="宋体"/>
        </w:rPr>
      </w:pPr>
      <w:r>
        <w:rPr>
          <w:rFonts w:hint="eastAsia" w:ascii="Times New Roman" w:hAnsi="宋体"/>
        </w:rPr>
        <w:t>臭氧层破坏、气候变化、海洋环境保护的主要国际立法</w:t>
      </w:r>
    </w:p>
    <w:p>
      <w:pPr>
        <w:pStyle w:val="4"/>
        <w:spacing w:line="300" w:lineRule="auto"/>
        <w:rPr>
          <w:rFonts w:ascii="Times New Roman" w:hAnsi="宋体"/>
          <w:b/>
          <w:bCs/>
        </w:rPr>
      </w:pPr>
    </w:p>
    <w:p>
      <w:pPr>
        <w:pStyle w:val="4"/>
        <w:spacing w:line="300" w:lineRule="auto"/>
        <w:rPr>
          <w:rFonts w:ascii="Times New Roman" w:hAnsi="宋体"/>
        </w:rPr>
      </w:pPr>
    </w:p>
    <w:p>
      <w:pPr>
        <w:pStyle w:val="4"/>
        <w:spacing w:line="300" w:lineRule="auto"/>
        <w:rPr>
          <w:b/>
          <w:bCs/>
          <w:sz w:val="30"/>
          <w:szCs w:val="30"/>
        </w:rPr>
      </w:pPr>
      <w:r>
        <w:rPr>
          <w:rFonts w:hint="eastAsia" w:ascii="黑体" w:hAnsi="黑体" w:eastAsia="黑体" w:cs="黑体"/>
          <w:b/>
          <w:bCs/>
          <w:sz w:val="30"/>
          <w:szCs w:val="30"/>
        </w:rPr>
        <w:t>五、参考资源</w:t>
      </w:r>
    </w:p>
    <w:p>
      <w:pPr>
        <w:spacing w:line="360" w:lineRule="auto"/>
        <w:rPr>
          <w:rFonts w:hAnsi="宋体"/>
        </w:rPr>
      </w:pPr>
      <w:r>
        <w:rPr>
          <w:rFonts w:hint="eastAsia" w:hAnsi="宋体"/>
        </w:rPr>
        <w:t>[1]</w:t>
      </w:r>
      <w:r>
        <w:rPr>
          <w:rFonts w:hint="eastAsia"/>
        </w:rPr>
        <w:t xml:space="preserve"> </w:t>
      </w:r>
      <w:r>
        <w:rPr>
          <w:rFonts w:hint="eastAsia" w:hAnsi="宋体"/>
        </w:rPr>
        <w:t>周珂 易骆之 唐双娥 孙佑海. 环境与资源保护法（第五版）[M]. 北京：中国人民大学出版社. 2023年.</w:t>
      </w:r>
    </w:p>
    <w:p>
      <w:pPr>
        <w:spacing w:line="360" w:lineRule="auto"/>
        <w:rPr>
          <w:rFonts w:hAnsi="宋体"/>
        </w:rPr>
      </w:pPr>
      <w:r>
        <w:rPr>
          <w:rFonts w:hint="eastAsia" w:hAnsi="宋体"/>
        </w:rPr>
        <w:t>[2]</w:t>
      </w:r>
      <w:r>
        <w:rPr>
          <w:rFonts w:hAnsi="宋体"/>
        </w:rPr>
        <w:t xml:space="preserve"> </w:t>
      </w:r>
      <w:r>
        <w:rPr>
          <w:rFonts w:hint="eastAsia" w:hAnsi="宋体"/>
        </w:rPr>
        <w:t>汪劲.《环境法学》（第四版）[M].北京：北京大学出版社，2018.9</w:t>
      </w:r>
    </w:p>
    <w:p>
      <w:pPr>
        <w:spacing w:line="360" w:lineRule="auto"/>
        <w:rPr>
          <w:rFonts w:hAnsi="宋体"/>
        </w:rPr>
      </w:pPr>
      <w:r>
        <w:rPr>
          <w:rFonts w:hint="eastAsia" w:hAnsi="宋体"/>
        </w:rPr>
        <w:t>[3]</w:t>
      </w:r>
      <w:r>
        <w:rPr>
          <w:rFonts w:hAnsi="宋体"/>
        </w:rPr>
        <w:t xml:space="preserve"> </w:t>
      </w:r>
      <w:r>
        <w:rPr>
          <w:rFonts w:hint="eastAsia" w:hAnsi="宋体"/>
        </w:rPr>
        <w:t>韩德培.《环境保护法教程》[M].北京：法律出版社，1998</w:t>
      </w:r>
    </w:p>
    <w:p>
      <w:pPr>
        <w:spacing w:line="360" w:lineRule="auto"/>
        <w:rPr>
          <w:rFonts w:hAnsi="宋体"/>
        </w:rPr>
      </w:pPr>
      <w:r>
        <w:rPr>
          <w:rFonts w:hint="eastAsia" w:hAnsi="宋体"/>
        </w:rPr>
        <w:t>[4]</w:t>
      </w:r>
      <w:r>
        <w:rPr>
          <w:rFonts w:hAnsi="宋体"/>
        </w:rPr>
        <w:t xml:space="preserve"> </w:t>
      </w:r>
      <w:r>
        <w:rPr>
          <w:rFonts w:hint="eastAsia" w:hAnsi="宋体"/>
        </w:rPr>
        <w:t>王树义.《环境法学重大理论问题论争》[M].北京：中国社会科学出版社，2022.3</w:t>
      </w:r>
    </w:p>
    <w:p>
      <w:pPr>
        <w:spacing w:line="360" w:lineRule="auto"/>
        <w:rPr>
          <w:rFonts w:hAnsi="宋体"/>
        </w:rPr>
      </w:pPr>
      <w:r>
        <w:rPr>
          <w:rFonts w:hint="eastAsia" w:hAnsi="宋体"/>
        </w:rPr>
        <w:t>[5]</w:t>
      </w:r>
      <w:r>
        <w:rPr>
          <w:rFonts w:hAnsi="宋体"/>
        </w:rPr>
        <w:t xml:space="preserve"> </w:t>
      </w:r>
      <w:r>
        <w:rPr>
          <w:rFonts w:hint="eastAsia" w:hAnsi="宋体"/>
        </w:rPr>
        <w:t>邓海峰.《环境法总论》[M].北京：法律出版社，2020年。</w:t>
      </w:r>
    </w:p>
    <w:p>
      <w:pPr>
        <w:spacing w:line="360" w:lineRule="auto"/>
      </w:pPr>
      <w:r>
        <w:rPr>
          <w:rFonts w:hint="eastAsia" w:hAnsi="宋体"/>
        </w:rPr>
        <w:t>[6]</w:t>
      </w:r>
      <w:r>
        <w:rPr>
          <w:rFonts w:hAnsi="宋体"/>
        </w:rPr>
        <w:t xml:space="preserve"> </w:t>
      </w:r>
      <w:r>
        <w:rPr>
          <w:rFonts w:hint="eastAsia" w:hAnsi="宋体"/>
        </w:rPr>
        <w:t>竺效.《环境公益诉讼实案释法》[M].北京：中国人民大学出版社2018年</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467F61"/>
    <w:multiLevelType w:val="multilevel"/>
    <w:tmpl w:val="10467F61"/>
    <w:lvl w:ilvl="0" w:tentative="0">
      <w:start w:val="1"/>
      <w:numFmt w:val="japaneseCounting"/>
      <w:lvlText w:val="%1、"/>
      <w:lvlJc w:val="left"/>
      <w:pPr>
        <w:ind w:left="435" w:hanging="435"/>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EzY2NjNDViMzM5MzI1ZDYzNGI1OWZiZGE0ZTRlYjEifQ=="/>
  </w:docVars>
  <w:rsids>
    <w:rsidRoot w:val="00C63817"/>
    <w:rsid w:val="0001518C"/>
    <w:rsid w:val="000E5B01"/>
    <w:rsid w:val="003F5BE1"/>
    <w:rsid w:val="004A05C6"/>
    <w:rsid w:val="00807A23"/>
    <w:rsid w:val="00AB23F8"/>
    <w:rsid w:val="00B86931"/>
    <w:rsid w:val="00C315A7"/>
    <w:rsid w:val="00C6101B"/>
    <w:rsid w:val="00C63817"/>
    <w:rsid w:val="00D0330B"/>
    <w:rsid w:val="00EB0BB9"/>
    <w:rsid w:val="30AC28B9"/>
    <w:rsid w:val="40CB28E7"/>
    <w:rsid w:val="47437C2E"/>
    <w:rsid w:val="569126FA"/>
    <w:rsid w:val="704E28F4"/>
    <w:rsid w:val="741E0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jc w:val="center"/>
      <w:outlineLvl w:val="0"/>
    </w:pPr>
    <w:rPr>
      <w:rFonts w:ascii="黑体" w:eastAsia="黑体"/>
      <w:bCs/>
      <w:kern w:val="44"/>
      <w:sz w:val="32"/>
      <w:szCs w:val="32"/>
    </w:rPr>
  </w:style>
  <w:style w:type="paragraph" w:styleId="3">
    <w:name w:val="heading 2"/>
    <w:basedOn w:val="1"/>
    <w:next w:val="1"/>
    <w:qFormat/>
    <w:uiPriority w:val="0"/>
    <w:pPr>
      <w:keepNext/>
      <w:keepLines/>
      <w:spacing w:before="260" w:after="260" w:line="416" w:lineRule="auto"/>
      <w:outlineLvl w:val="1"/>
    </w:pPr>
    <w:rPr>
      <w:rFonts w:ascii="黑体" w:hAnsi="Arial" w:eastAsia="黑体"/>
      <w:sz w:val="30"/>
      <w:szCs w:val="30"/>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4">
    <w:name w:val="Plain Text"/>
    <w:basedOn w:val="1"/>
    <w:qFormat/>
    <w:uiPriority w:val="0"/>
    <w:rPr>
      <w:rFonts w:ascii="宋体" w:hAnsi="Courier New"/>
      <w:szCs w:val="21"/>
    </w:rPr>
  </w:style>
  <w:style w:type="paragraph" w:styleId="5">
    <w:name w:val="footer"/>
    <w:basedOn w:val="1"/>
    <w:link w:val="11"/>
    <w:uiPriority w:val="0"/>
    <w:pPr>
      <w:tabs>
        <w:tab w:val="center" w:pos="4153"/>
        <w:tab w:val="right" w:pos="8306"/>
      </w:tabs>
      <w:snapToGrid w:val="0"/>
      <w:jc w:val="left"/>
    </w:pPr>
    <w:rPr>
      <w:sz w:val="18"/>
      <w:szCs w:val="18"/>
    </w:rPr>
  </w:style>
  <w:style w:type="paragraph" w:styleId="6">
    <w:name w:val="header"/>
    <w:basedOn w:val="1"/>
    <w:link w:val="10"/>
    <w:uiPriority w:val="0"/>
    <w:pPr>
      <w:tabs>
        <w:tab w:val="center" w:pos="4153"/>
        <w:tab w:val="right" w:pos="8306"/>
      </w:tabs>
      <w:snapToGrid w:val="0"/>
      <w:jc w:val="center"/>
    </w:pPr>
    <w:rPr>
      <w:sz w:val="18"/>
      <w:szCs w:val="18"/>
    </w:rPr>
  </w:style>
  <w:style w:type="paragraph" w:customStyle="1" w:styleId="9">
    <w:name w:val="样式(附录文字)"/>
    <w:basedOn w:val="1"/>
    <w:qFormat/>
    <w:uiPriority w:val="0"/>
    <w:pPr>
      <w:autoSpaceDE w:val="0"/>
      <w:autoSpaceDN w:val="0"/>
      <w:adjustRightInd w:val="0"/>
      <w:spacing w:line="300" w:lineRule="auto"/>
      <w:ind w:firstLine="420" w:firstLineChars="200"/>
    </w:pPr>
    <w:rPr>
      <w:bCs/>
      <w:color w:val="00B0F0"/>
    </w:rPr>
  </w:style>
  <w:style w:type="character" w:customStyle="1" w:styleId="10">
    <w:name w:val="页眉 字符"/>
    <w:basedOn w:val="8"/>
    <w:link w:val="6"/>
    <w:uiPriority w:val="0"/>
    <w:rPr>
      <w:rFonts w:ascii="Calibri" w:hAnsi="Calibri" w:eastAsia="宋体" w:cs="Times New Roman"/>
      <w:kern w:val="2"/>
      <w:sz w:val="18"/>
      <w:szCs w:val="18"/>
    </w:rPr>
  </w:style>
  <w:style w:type="character" w:customStyle="1" w:styleId="11">
    <w:name w:val="页脚 字符"/>
    <w:basedOn w:val="8"/>
    <w:link w:val="5"/>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13</Pages>
  <Words>4982</Words>
  <Characters>5155</Characters>
  <Lines>40</Lines>
  <Paragraphs>11</Paragraphs>
  <TotalTime>1</TotalTime>
  <ScaleCrop>false</ScaleCrop>
  <LinksUpToDate>false</LinksUpToDate>
  <CharactersWithSpaces>5388</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2023-11-06T08:01:00Z</dcterms:created>
  <dc:creator>Administrator</dc:creator>
  <cp:lastModifiedBy>曲径通幽</cp:lastModifiedBy>
  <dcterms:modified xsi:type="dcterms:W3CDTF">2023-11-13T01:41:38Z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0F290652F73F4ED69848B8A593FA9C82_12</vt:lpwstr>
  </property>
</Properties>
</file>