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/>
          <w:color w:val="000000"/>
          <w:sz w:val="32"/>
        </w:rPr>
      </w:pPr>
      <w:bookmarkStart w:id="0" w:name="_Toc140866273"/>
      <w:r>
        <w:rPr>
          <w:rFonts w:hint="eastAsia" w:ascii="宋体"/>
          <w:color w:val="000000"/>
          <w:sz w:val="32"/>
        </w:rPr>
        <w:t>黑龙江省高等教育自学考试</w:t>
      </w:r>
    </w:p>
    <w:p>
      <w:pPr>
        <w:spacing w:line="360" w:lineRule="auto"/>
        <w:jc w:val="center"/>
        <w:rPr>
          <w:rFonts w:ascii="宋体"/>
          <w:color w:val="000000"/>
          <w:sz w:val="32"/>
        </w:rPr>
      </w:pPr>
      <w:r>
        <w:rPr>
          <w:rFonts w:hint="eastAsia" w:ascii="宋体"/>
          <w:color w:val="000000"/>
          <w:sz w:val="32"/>
          <w:lang w:val="en-US" w:eastAsia="zh-CN"/>
        </w:rPr>
        <w:t>法律事务</w:t>
      </w:r>
      <w:r>
        <w:rPr>
          <w:rFonts w:hint="eastAsia" w:ascii="宋体"/>
          <w:color w:val="000000"/>
          <w:sz w:val="32"/>
        </w:rPr>
        <w:t>(</w:t>
      </w:r>
      <w:r>
        <w:rPr>
          <w:rFonts w:hint="eastAsia" w:ascii="宋体"/>
          <w:color w:val="000000"/>
          <w:sz w:val="32"/>
          <w:lang w:val="en-US" w:eastAsia="zh-CN"/>
        </w:rPr>
        <w:t>680503</w:t>
      </w:r>
      <w:r>
        <w:rPr>
          <w:rFonts w:hint="eastAsia" w:ascii="宋体"/>
          <w:color w:val="000000"/>
          <w:sz w:val="32"/>
        </w:rPr>
        <w:t>)专业（</w:t>
      </w:r>
      <w:r>
        <w:rPr>
          <w:rFonts w:hint="eastAsia" w:ascii="宋体"/>
          <w:color w:val="000000"/>
          <w:sz w:val="32"/>
          <w:lang w:val="en-US" w:eastAsia="zh-CN"/>
        </w:rPr>
        <w:t>专科</w:t>
      </w:r>
      <w:r>
        <w:rPr>
          <w:rFonts w:hint="eastAsia" w:ascii="宋体"/>
          <w:color w:val="000000"/>
          <w:sz w:val="32"/>
        </w:rPr>
        <w:t>）</w:t>
      </w: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line="264" w:lineRule="atLeast"/>
        <w:rPr>
          <w:rFonts w:ascii="宋体"/>
          <w:b/>
          <w:color w:val="000000"/>
          <w:sz w:val="24"/>
        </w:rPr>
      </w:pPr>
    </w:p>
    <w:p>
      <w:pPr>
        <w:spacing w:after="100" w:afterAutospacing="1" w:line="360" w:lineRule="auto"/>
        <w:jc w:val="center"/>
        <w:rPr>
          <w:rFonts w:hint="eastAsia" w:ascii="宋体"/>
          <w:b/>
          <w:bCs/>
          <w:color w:val="000000"/>
          <w:sz w:val="52"/>
          <w:szCs w:val="52"/>
          <w:lang w:val="en-US" w:eastAsia="zh-CN"/>
        </w:rPr>
      </w:pPr>
      <w:r>
        <w:rPr>
          <w:rFonts w:hint="eastAsia" w:ascii="宋体"/>
          <w:b/>
          <w:bCs/>
          <w:color w:val="000000"/>
          <w:sz w:val="52"/>
          <w:szCs w:val="52"/>
          <w:lang w:val="en-US" w:eastAsia="zh-CN"/>
        </w:rPr>
        <w:t>经济法学</w:t>
      </w:r>
    </w:p>
    <w:p>
      <w:pPr>
        <w:spacing w:after="100" w:afterAutospacing="1" w:line="360" w:lineRule="auto"/>
        <w:jc w:val="center"/>
        <w:rPr>
          <w:rFonts w:ascii="宋体"/>
          <w:b/>
          <w:color w:val="000000"/>
          <w:sz w:val="32"/>
        </w:rPr>
      </w:pPr>
      <w:r>
        <w:rPr>
          <w:rFonts w:hint="eastAsia" w:ascii="宋体"/>
          <w:color w:val="000000"/>
          <w:sz w:val="32"/>
        </w:rPr>
        <w:t>(课程代码</w:t>
      </w:r>
      <w:r>
        <w:rPr>
          <w:rFonts w:ascii="宋体"/>
          <w:color w:val="000000"/>
          <w:sz w:val="32"/>
        </w:rPr>
        <w:t xml:space="preserve"> </w:t>
      </w:r>
      <w:r>
        <w:rPr>
          <w:rFonts w:hint="eastAsia" w:ascii="宋体"/>
          <w:color w:val="000000"/>
          <w:sz w:val="32"/>
          <w:lang w:val="en-US" w:eastAsia="zh-CN"/>
        </w:rPr>
        <w:t>07790</w:t>
      </w:r>
      <w:r>
        <w:rPr>
          <w:rFonts w:ascii="宋体"/>
          <w:color w:val="000000"/>
          <w:sz w:val="32"/>
        </w:rPr>
        <w:t>)</w:t>
      </w: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264" w:lineRule="atLeast"/>
        <w:jc w:val="center"/>
        <w:rPr>
          <w:rFonts w:ascii="宋体"/>
          <w:color w:val="000000"/>
          <w:sz w:val="32"/>
        </w:rPr>
      </w:pPr>
    </w:p>
    <w:p>
      <w:pPr>
        <w:spacing w:line="360" w:lineRule="auto"/>
        <w:jc w:val="center"/>
        <w:rPr>
          <w:rFonts w:hint="eastAsia" w:ascii="宋体"/>
          <w:color w:val="000000"/>
          <w:sz w:val="32"/>
        </w:rPr>
      </w:pPr>
      <w:r>
        <w:rPr>
          <w:rFonts w:hint="eastAsia" w:ascii="宋体"/>
          <w:color w:val="000000"/>
          <w:sz w:val="32"/>
        </w:rPr>
        <w:t>黑龙江省高等教育自学考试委员会办公室</w:t>
      </w:r>
    </w:p>
    <w:p>
      <w:pPr>
        <w:spacing w:line="360" w:lineRule="auto"/>
        <w:jc w:val="center"/>
        <w:rPr>
          <w:rFonts w:hint="eastAsia" w:ascii="宋体"/>
          <w:color w:val="000000"/>
          <w:sz w:val="32"/>
        </w:rPr>
      </w:pPr>
      <w:r>
        <w:rPr>
          <w:rFonts w:hint="eastAsia" w:ascii="宋体"/>
          <w:color w:val="000000"/>
          <w:sz w:val="32"/>
        </w:rPr>
        <w:t>二○</w:t>
      </w:r>
      <w:r>
        <w:rPr>
          <w:rFonts w:hint="eastAsia" w:ascii="宋体"/>
          <w:color w:val="000000"/>
          <w:sz w:val="32"/>
          <w:lang w:val="en-US" w:eastAsia="zh-CN"/>
        </w:rPr>
        <w:t>二三</w:t>
      </w:r>
      <w:r>
        <w:rPr>
          <w:rFonts w:hint="eastAsia" w:ascii="宋体"/>
          <w:color w:val="000000"/>
          <w:sz w:val="32"/>
        </w:rPr>
        <w:t>年十</w:t>
      </w:r>
      <w:r>
        <w:rPr>
          <w:rFonts w:hint="eastAsia" w:ascii="宋体"/>
          <w:color w:val="000000"/>
          <w:sz w:val="32"/>
          <w:lang w:val="en-US" w:eastAsia="zh-CN"/>
        </w:rPr>
        <w:t>一</w:t>
      </w:r>
      <w:r>
        <w:rPr>
          <w:rFonts w:hint="eastAsia" w:ascii="宋体"/>
          <w:color w:val="000000"/>
          <w:sz w:val="32"/>
        </w:rPr>
        <w:t>月</w:t>
      </w:r>
    </w:p>
    <w:p>
      <w:pPr>
        <w:spacing w:line="360" w:lineRule="auto"/>
        <w:jc w:val="center"/>
        <w:rPr>
          <w:rFonts w:hint="eastAsia" w:ascii="宋体"/>
          <w:color w:val="000000"/>
          <w:sz w:val="32"/>
        </w:rPr>
      </w:pPr>
    </w:p>
    <w:p>
      <w:pPr>
        <w:spacing w:line="360" w:lineRule="auto"/>
        <w:jc w:val="center"/>
        <w:rPr>
          <w:rFonts w:hint="eastAsia" w:ascii="宋体"/>
          <w:color w:val="000000"/>
          <w:sz w:val="32"/>
        </w:rPr>
      </w:pPr>
    </w:p>
    <w:p>
      <w:pPr>
        <w:spacing w:line="360" w:lineRule="auto"/>
        <w:jc w:val="center"/>
        <w:rPr>
          <w:rFonts w:hint="eastAsia" w:ascii="宋体"/>
          <w:color w:val="000000"/>
          <w:sz w:val="32"/>
        </w:rPr>
      </w:pPr>
    </w:p>
    <w:p>
      <w:pPr>
        <w:spacing w:line="360" w:lineRule="auto"/>
        <w:jc w:val="center"/>
      </w:pPr>
      <w:r>
        <w:rPr>
          <w:rFonts w:hint="eastAsia"/>
          <w:sz w:val="28"/>
          <w:szCs w:val="28"/>
        </w:rPr>
        <w:t>《</w:t>
      </w:r>
      <w:r>
        <w:rPr>
          <w:rFonts w:hint="eastAsia"/>
          <w:sz w:val="28"/>
          <w:szCs w:val="28"/>
          <w:lang w:val="en-US" w:eastAsia="zh-CN"/>
        </w:rPr>
        <w:t>经济法学</w:t>
      </w:r>
      <w:r>
        <w:rPr>
          <w:rFonts w:hint="eastAsia"/>
          <w:sz w:val="28"/>
          <w:szCs w:val="28"/>
        </w:rPr>
        <w:t>》</w:t>
      </w:r>
      <w:r>
        <w:rPr>
          <w:rFonts w:hint="eastAsia"/>
          <w:sz w:val="28"/>
          <w:szCs w:val="28"/>
          <w:lang w:val="en-US" w:eastAsia="zh-CN"/>
        </w:rPr>
        <w:t>考试</w:t>
      </w:r>
      <w:r>
        <w:rPr>
          <w:rFonts w:hint="eastAsia"/>
          <w:sz w:val="28"/>
          <w:szCs w:val="28"/>
        </w:rPr>
        <w:t>大纲</w:t>
      </w:r>
      <w:bookmarkEnd w:id="0"/>
    </w:p>
    <w:p>
      <w:pPr>
        <w:pStyle w:val="3"/>
        <w:rPr>
          <w:b/>
        </w:rPr>
      </w:pPr>
      <w:r>
        <w:rPr>
          <w:rFonts w:hint="eastAsia"/>
        </w:rPr>
        <w:t>一、课程基本信息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1"/>
        <w:gridCol w:w="2994"/>
        <w:gridCol w:w="1413"/>
        <w:gridCol w:w="27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71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color w:val="auto"/>
                <w:szCs w:val="21"/>
                <w:highlight w:val="yellow"/>
                <w:lang w:eastAsia="zh-CN"/>
              </w:rPr>
            </w:pPr>
            <w:r>
              <w:rPr>
                <w:rFonts w:hint="eastAsia" w:ascii="宋体" w:hAnsi="宋体"/>
                <w:color w:val="auto"/>
                <w:spacing w:val="30"/>
                <w:szCs w:val="21"/>
                <w:highlight w:val="none"/>
                <w:lang w:val="en-US" w:eastAsia="zh-CN"/>
              </w:rPr>
              <w:t>主考</w:t>
            </w:r>
            <w:r>
              <w:rPr>
                <w:rFonts w:hint="eastAsia" w:ascii="宋体" w:hAnsi="宋体"/>
                <w:color w:val="auto"/>
                <w:spacing w:val="30"/>
                <w:szCs w:val="21"/>
                <w:highlight w:val="none"/>
              </w:rPr>
              <w:t>学</w:t>
            </w:r>
            <w:r>
              <w:rPr>
                <w:rFonts w:hint="eastAsia" w:ascii="宋体" w:hAnsi="宋体"/>
                <w:color w:val="auto"/>
                <w:spacing w:val="30"/>
                <w:szCs w:val="21"/>
                <w:highlight w:val="none"/>
                <w:lang w:val="en-US" w:eastAsia="zh-CN"/>
              </w:rPr>
              <w:t>校</w:t>
            </w:r>
          </w:p>
        </w:tc>
        <w:tc>
          <w:tcPr>
            <w:tcW w:w="2994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color w:val="auto"/>
                <w:szCs w:val="21"/>
                <w:highlight w:val="yellow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  <w:lang w:val="en-US" w:eastAsia="zh-CN"/>
              </w:rPr>
              <w:t>黑龙江大学</w:t>
            </w:r>
          </w:p>
        </w:tc>
        <w:tc>
          <w:tcPr>
            <w:tcW w:w="1413" w:type="dxa"/>
            <w:vAlign w:val="center"/>
          </w:tcPr>
          <w:p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专业</w:t>
            </w:r>
          </w:p>
        </w:tc>
        <w:tc>
          <w:tcPr>
            <w:tcW w:w="2744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en-US" w:eastAsia="zh-CN"/>
              </w:rPr>
              <w:t>法律事务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71" w:type="dxa"/>
            <w:vAlign w:val="center"/>
          </w:tcPr>
          <w:p>
            <w:pPr>
              <w:spacing w:line="380" w:lineRule="exact"/>
              <w:jc w:val="center"/>
              <w:rPr>
                <w:rFonts w:ascii="宋体" w:hAnsi="宋体"/>
                <w:spacing w:val="30"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课程名称</w:t>
            </w:r>
          </w:p>
        </w:tc>
        <w:tc>
          <w:tcPr>
            <w:tcW w:w="2994" w:type="dxa"/>
            <w:vAlign w:val="center"/>
          </w:tcPr>
          <w:p>
            <w:pPr>
              <w:spacing w:line="380" w:lineRule="exact"/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经济法学</w:t>
            </w:r>
          </w:p>
        </w:tc>
        <w:tc>
          <w:tcPr>
            <w:tcW w:w="4157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 w:val="21"/>
                <w:szCs w:val="21"/>
              </w:rPr>
              <w:t>Law of Economy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1" w:type="dxa"/>
            <w:vAlign w:val="center"/>
          </w:tcPr>
          <w:p>
            <w:pPr>
              <w:spacing w:line="380" w:lineRule="exact"/>
              <w:jc w:val="center"/>
              <w:rPr>
                <w:rFonts w:ascii="宋体" w:hAnsi="宋体"/>
                <w:spacing w:val="30"/>
                <w:szCs w:val="21"/>
              </w:rPr>
            </w:pPr>
            <w:r>
              <w:rPr>
                <w:rFonts w:hint="eastAsia" w:ascii="宋体" w:hAnsi="宋体"/>
                <w:spacing w:val="30"/>
                <w:szCs w:val="21"/>
              </w:rPr>
              <w:t>参考教材</w:t>
            </w:r>
          </w:p>
        </w:tc>
        <w:tc>
          <w:tcPr>
            <w:tcW w:w="7151" w:type="dxa"/>
            <w:gridSpan w:val="3"/>
            <w:vAlign w:val="center"/>
          </w:tcPr>
          <w:p>
            <w:pPr>
              <w:spacing w:line="3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《经济法学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（第三版）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》编写组、张守文主编</w:t>
            </w:r>
            <w:r>
              <w:rPr>
                <w:rFonts w:hint="eastAsia" w:ascii="宋体" w:hAnsi="宋体"/>
                <w:b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经济法学（第三版）</w:t>
            </w:r>
            <w:r>
              <w:rPr>
                <w:rFonts w:hint="eastAsia" w:ascii="宋体" w:hAnsi="宋体"/>
                <w:b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/>
                <w:b/>
                <w:szCs w:val="21"/>
              </w:rPr>
              <w:t>北京：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高等教育出版社</w:t>
            </w:r>
            <w:r>
              <w:rPr>
                <w:rFonts w:hint="eastAsia" w:ascii="宋体" w:hAnsi="宋体"/>
                <w:b/>
                <w:sz w:val="21"/>
                <w:szCs w:val="21"/>
                <w:lang w:val="en-US" w:eastAsia="zh-CN"/>
              </w:rPr>
              <w:t>,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20</w:t>
            </w:r>
            <w:r>
              <w:rPr>
                <w:rFonts w:ascii="宋体" w:hAnsi="宋体"/>
                <w:b/>
                <w:sz w:val="21"/>
                <w:szCs w:val="21"/>
              </w:rPr>
              <w:t>22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年</w:t>
            </w:r>
            <w:r>
              <w:rPr>
                <w:rFonts w:hint="eastAsia" w:ascii="宋体" w:hAnsi="宋体"/>
                <w:b/>
                <w:szCs w:val="21"/>
              </w:rPr>
              <w:t>.</w:t>
            </w:r>
          </w:p>
        </w:tc>
      </w:tr>
    </w:tbl>
    <w:p>
      <w:pPr>
        <w:pStyle w:val="3"/>
        <w:rPr>
          <w:b/>
          <w:bCs/>
          <w:color w:val="FF0000"/>
        </w:rPr>
      </w:pPr>
      <w:r>
        <w:rPr>
          <w:rFonts w:hint="eastAsia"/>
        </w:rPr>
        <w:t>二、课程简介</w:t>
      </w:r>
    </w:p>
    <w:p>
      <w:pPr>
        <w:pStyle w:val="2"/>
        <w:spacing w:line="360" w:lineRule="auto"/>
        <w:ind w:firstLine="420" w:firstLineChars="200"/>
        <w:jc w:val="left"/>
        <w:rPr>
          <w:color w:val="auto"/>
          <w:szCs w:val="21"/>
        </w:rPr>
      </w:pPr>
      <w:r>
        <w:rPr>
          <w:rFonts w:hint="eastAsia" w:ascii="新宋体" w:hAnsi="新宋体" w:eastAsia="新宋体" w:cs="新宋体"/>
          <w:kern w:val="2"/>
          <w:sz w:val="21"/>
          <w:szCs w:val="21"/>
        </w:rPr>
        <w:t>经济法学，是以经济法为研究对象，着重研究经济法</w:t>
      </w:r>
      <w:r>
        <w:rPr>
          <w:rFonts w:hint="eastAsia" w:ascii="新宋体" w:hAnsi="新宋体" w:eastAsia="新宋体" w:cs="新宋体"/>
          <w:kern w:val="2"/>
          <w:sz w:val="21"/>
          <w:szCs w:val="21"/>
          <w:lang w:val="en-US" w:eastAsia="zh-CN"/>
        </w:rPr>
        <w:t>体系构成及基本法律制度</w:t>
      </w:r>
      <w:r>
        <w:rPr>
          <w:rFonts w:hint="eastAsia" w:ascii="新宋体" w:hAnsi="新宋体" w:eastAsia="新宋体" w:cs="新宋体"/>
          <w:kern w:val="2"/>
          <w:sz w:val="21"/>
          <w:szCs w:val="21"/>
        </w:rPr>
        <w:t>的法学学科。作为一门重要的新兴学科，经济法学在法学体系中居于重要地位，这与经济法在现代国家法律体系中的重要地位直接相关。本课程在结构上分为总论和分论两个部分：总论部分，除绪论外，主要包括经济法的</w:t>
      </w:r>
      <w:r>
        <w:rPr>
          <w:rFonts w:hint="eastAsia" w:ascii="新宋体" w:hAnsi="新宋体" w:eastAsia="新宋体" w:cs="新宋体"/>
          <w:kern w:val="2"/>
          <w:sz w:val="21"/>
          <w:szCs w:val="21"/>
          <w:lang w:val="en-US" w:eastAsia="zh-CN"/>
        </w:rPr>
        <w:t>概念、调整对象、宗旨、基本原则</w:t>
      </w:r>
      <w:r>
        <w:rPr>
          <w:rFonts w:hint="eastAsia" w:ascii="新宋体" w:hAnsi="新宋体" w:eastAsia="新宋体" w:cs="新宋体"/>
          <w:kern w:val="2"/>
          <w:sz w:val="21"/>
          <w:szCs w:val="21"/>
        </w:rPr>
        <w:t>等内容。分论部分，包括宏观调控法和市场规制法两部分，</w:t>
      </w:r>
      <w:r>
        <w:rPr>
          <w:rFonts w:hint="eastAsia" w:ascii="新宋体" w:hAnsi="新宋体" w:eastAsia="新宋体" w:cs="新宋体"/>
          <w:kern w:val="2"/>
          <w:sz w:val="21"/>
          <w:szCs w:val="21"/>
          <w:lang w:val="en-US" w:eastAsia="zh-CN"/>
        </w:rPr>
        <w:t>具体包括经济主体法律制度、反不正当竞争法律制度、反垄断法律制度、消费者权益保护法律制度等</w:t>
      </w:r>
      <w:r>
        <w:rPr>
          <w:rFonts w:hint="eastAsia" w:ascii="新宋体" w:hAnsi="新宋体" w:eastAsia="新宋体" w:cs="新宋体"/>
          <w:kern w:val="2"/>
          <w:sz w:val="21"/>
          <w:szCs w:val="21"/>
        </w:rPr>
        <w:t>具体制度。</w:t>
      </w:r>
    </w:p>
    <w:p>
      <w:pPr>
        <w:pStyle w:val="3"/>
        <w:rPr>
          <w:b/>
        </w:rPr>
      </w:pPr>
      <w:r>
        <w:rPr>
          <w:rFonts w:hint="eastAsia"/>
        </w:rPr>
        <w:t>三、课程目标</w:t>
      </w:r>
    </w:p>
    <w:p>
      <w:pPr>
        <w:spacing w:line="360" w:lineRule="auto"/>
        <w:ind w:firstLine="480"/>
        <w:rPr>
          <w:bCs/>
          <w:szCs w:val="21"/>
        </w:rPr>
      </w:pPr>
      <w:r>
        <w:rPr>
          <w:rFonts w:hint="eastAsia"/>
        </w:rPr>
        <w:t>《</w:t>
      </w:r>
      <w:r>
        <w:rPr>
          <w:rFonts w:hint="eastAsia"/>
          <w:lang w:val="en-US" w:eastAsia="zh-CN"/>
        </w:rPr>
        <w:t>经济法学</w:t>
      </w:r>
      <w:r>
        <w:rPr>
          <w:rFonts w:hint="eastAsia"/>
        </w:rPr>
        <w:t>》是法学专业</w:t>
      </w:r>
      <w:r>
        <w:rPr>
          <w:rFonts w:hint="eastAsia"/>
          <w:lang w:val="en-US" w:eastAsia="zh-CN"/>
        </w:rPr>
        <w:t>必修</w:t>
      </w:r>
      <w:r>
        <w:rPr>
          <w:rFonts w:hint="eastAsia"/>
        </w:rPr>
        <w:t>课，</w:t>
      </w:r>
      <w:r>
        <w:rPr>
          <w:rFonts w:hint="eastAsia"/>
          <w:lang w:val="en-US" w:eastAsia="zh-CN"/>
        </w:rPr>
        <w:t>是一门理论性、综合性、实践性极强的学科，要求</w:t>
      </w:r>
      <w:r>
        <w:rPr>
          <w:rFonts w:hint="eastAsia"/>
        </w:rPr>
        <w:t>学生了解</w:t>
      </w:r>
      <w:r>
        <w:rPr>
          <w:rFonts w:hint="eastAsia"/>
          <w:lang w:val="en-US" w:eastAsia="zh-CN"/>
        </w:rPr>
        <w:t>经济法</w:t>
      </w:r>
      <w:r>
        <w:rPr>
          <w:rFonts w:hint="eastAsia"/>
        </w:rPr>
        <w:t>制度</w:t>
      </w:r>
      <w:r>
        <w:rPr>
          <w:rFonts w:hint="eastAsia"/>
          <w:lang w:val="en-US" w:eastAsia="zh-CN"/>
        </w:rPr>
        <w:t>产生、发展及体系</w:t>
      </w:r>
      <w:r>
        <w:rPr>
          <w:rFonts w:hint="eastAsia"/>
        </w:rPr>
        <w:t>脉络；理解</w:t>
      </w:r>
      <w:r>
        <w:rPr>
          <w:rFonts w:hint="eastAsia"/>
          <w:lang w:val="en-US" w:eastAsia="zh-CN"/>
        </w:rPr>
        <w:t>经济法的渊源、地位、宗旨、原则</w:t>
      </w:r>
      <w:r>
        <w:rPr>
          <w:rFonts w:hint="eastAsia"/>
        </w:rPr>
        <w:t>；掌握</w:t>
      </w:r>
      <w:r>
        <w:rPr>
          <w:rFonts w:hint="eastAsia"/>
          <w:lang w:val="en-US" w:eastAsia="zh-CN"/>
        </w:rPr>
        <w:t>宏观调控法及市场规制法的概念、体系及基本制度构成</w:t>
      </w:r>
      <w:r>
        <w:rPr>
          <w:rFonts w:hint="eastAsia"/>
          <w:lang w:eastAsia="zh-CN"/>
        </w:rPr>
        <w:t>，</w:t>
      </w:r>
      <w:r>
        <w:rPr>
          <w:rFonts w:hint="eastAsia"/>
          <w:bCs/>
          <w:szCs w:val="21"/>
          <w:lang w:val="en-US" w:eastAsia="zh-CN"/>
        </w:rPr>
        <w:t>使</w:t>
      </w:r>
      <w:r>
        <w:rPr>
          <w:rFonts w:hint="eastAsia"/>
          <w:bCs/>
          <w:szCs w:val="21"/>
        </w:rPr>
        <w:t>学生</w:t>
      </w:r>
      <w:r>
        <w:rPr>
          <w:rFonts w:hint="eastAsia"/>
          <w:bCs/>
          <w:szCs w:val="21"/>
          <w:lang w:val="en-US" w:eastAsia="zh-CN"/>
        </w:rPr>
        <w:t>提升法学综合素养，成为适应社会主义市场经济要求的法律人才。学生通过学习本课程，</w:t>
      </w:r>
      <w:r>
        <w:rPr>
          <w:rFonts w:hint="eastAsia"/>
          <w:bCs/>
          <w:szCs w:val="21"/>
        </w:rPr>
        <w:t>将达成以下目标：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培养学生的质疑精神，以及发现问题、分析问题与解决问题的能力。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培养学生的法学学习的基本能力与素质，为终身学习构建良好的学习习惯与知识基础。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培养学生对法律法规、司法解释以及案例的快速、准确地检索能力以及读解、分析与应用能力。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培养学生对经济法学的兴趣、其基本宗旨、原则以及基础内容的认知与理解，为进一步学习打下良好的知识基础。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梳理经济法学中的知识重点，通过</w:t>
      </w:r>
      <w:r>
        <w:rPr>
          <w:rFonts w:hint="eastAsia"/>
          <w:b w:val="0"/>
          <w:bCs/>
          <w:color w:val="auto"/>
          <w:sz w:val="21"/>
          <w:szCs w:val="21"/>
          <w:lang w:val="en-US" w:eastAsia="zh-CN"/>
        </w:rPr>
        <w:t>课堂学习、课后</w:t>
      </w:r>
      <w:r>
        <w:rPr>
          <w:rFonts w:hint="eastAsia"/>
          <w:b w:val="0"/>
          <w:bCs/>
          <w:color w:val="auto"/>
          <w:sz w:val="21"/>
          <w:szCs w:val="21"/>
        </w:rPr>
        <w:t>作业</w:t>
      </w:r>
      <w:r>
        <w:rPr>
          <w:rFonts w:hint="eastAsia"/>
          <w:b w:val="0"/>
          <w:bCs/>
          <w:color w:val="auto"/>
          <w:sz w:val="21"/>
          <w:szCs w:val="21"/>
          <w:lang w:val="en-US" w:eastAsia="zh-CN"/>
        </w:rPr>
        <w:t>相结合</w:t>
      </w:r>
      <w:r>
        <w:rPr>
          <w:rFonts w:hint="eastAsia"/>
          <w:b w:val="0"/>
          <w:bCs/>
          <w:color w:val="auto"/>
          <w:sz w:val="21"/>
          <w:szCs w:val="21"/>
        </w:rPr>
        <w:t>强化对重点问题的理解。</w:t>
      </w:r>
    </w:p>
    <w:p>
      <w:pPr>
        <w:pStyle w:val="9"/>
        <w:numPr>
          <w:ilvl w:val="0"/>
          <w:numId w:val="1"/>
        </w:numPr>
        <w:spacing w:line="360" w:lineRule="auto"/>
        <w:ind w:firstLine="482" w:firstLineChars="0"/>
        <w:rPr>
          <w:b w:val="0"/>
          <w:bCs/>
          <w:color w:val="FF0000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通过理论教学与案例、法律实务的结合，提升学生理论与实践结合的能力，并更好地理解法律法规的具体应用。</w:t>
      </w:r>
    </w:p>
    <w:p>
      <w:pPr>
        <w:pStyle w:val="9"/>
        <w:rPr>
          <w:color w:val="auto"/>
        </w:rPr>
      </w:pPr>
      <w:r>
        <w:rPr>
          <w:rFonts w:hint="eastAsia"/>
          <w:color w:val="auto"/>
        </w:rPr>
        <w:t>【育人目标】：</w:t>
      </w:r>
    </w:p>
    <w:p>
      <w:pPr>
        <w:pStyle w:val="9"/>
        <w:spacing w:line="360" w:lineRule="auto"/>
        <w:ind w:firstLineChars="0"/>
        <w:rPr>
          <w:b w:val="0"/>
          <w:bCs/>
          <w:color w:val="auto"/>
          <w:sz w:val="21"/>
          <w:szCs w:val="21"/>
        </w:rPr>
      </w:pPr>
      <w:r>
        <w:rPr>
          <w:rFonts w:hint="eastAsia"/>
          <w:b w:val="0"/>
          <w:bCs/>
          <w:color w:val="auto"/>
          <w:sz w:val="21"/>
          <w:szCs w:val="21"/>
        </w:rPr>
        <w:t>通过对我国改革开放在各行各业所取得的显著成绩，给各地带来的显著发展，我国的国际地位和国际影响力的显著提高，了解我国的经济战略的长远目标、经济政策的具体内容、以及我国经济法律制度的规定与其经济与社会实际效果的展示，明确我国政治制度在经济建设与发展中的优越性所在。进而提升文化自信与民族自豪感。</w:t>
      </w:r>
    </w:p>
    <w:p>
      <w:pPr>
        <w:pStyle w:val="9"/>
        <w:spacing w:line="360" w:lineRule="auto"/>
        <w:ind w:firstLineChars="0"/>
      </w:pPr>
      <w:r>
        <w:rPr>
          <w:rFonts w:hint="eastAsia"/>
          <w:b w:val="0"/>
          <w:bCs/>
          <w:color w:val="auto"/>
          <w:sz w:val="21"/>
          <w:szCs w:val="21"/>
        </w:rPr>
        <w:t>通过与思政教学内容相结合，增强学生们的民族自豪感、文化自信与爱国情操。并结合经济法的宗旨、基本原则、具体法律法规的内容，以更好的理解党的二十大报告提出的“必须完整、准确、全面贯彻新发展理念，坚持社会主义市场经济改革方向，坚持高水平对外开放，加快构建以国内大循环为主体、国内国际双循环相互促进的新发展格局”的精神。</w:t>
      </w:r>
    </w:p>
    <w:p>
      <w:pPr>
        <w:pStyle w:val="3"/>
        <w:rPr>
          <w:b/>
          <w:sz w:val="30"/>
          <w:szCs w:val="30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>、</w:t>
      </w:r>
      <w:r>
        <w:rPr>
          <w:rFonts w:hint="eastAsia"/>
          <w:b/>
          <w:sz w:val="30"/>
          <w:szCs w:val="30"/>
          <w:lang w:val="en-US" w:eastAsia="zh-CN"/>
        </w:rPr>
        <w:t>课程</w:t>
      </w:r>
      <w:r>
        <w:rPr>
          <w:rFonts w:hint="eastAsia"/>
          <w:b/>
          <w:sz w:val="30"/>
          <w:szCs w:val="30"/>
        </w:rPr>
        <w:t>内容、重点难点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Style w:val="8"/>
        </w:rPr>
      </w:pPr>
      <w:r>
        <w:rPr>
          <w:rStyle w:val="8"/>
          <w:rFonts w:hint="eastAsia" w:ascii="MS Mincho" w:hAnsi="MS Mincho" w:eastAsia="MS Mincho" w:cs="MS Mincho"/>
          <w:sz w:val="30"/>
          <w:szCs w:val="30"/>
        </w:rPr>
        <w:t>​</w:t>
      </w:r>
      <w:r>
        <w:rPr>
          <w:rStyle w:val="8"/>
          <w:rFonts w:hint="eastAsia"/>
        </w:rPr>
        <w:t>绪论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bookmarkStart w:id="1" w:name="_Hlk137320805"/>
      <w:bookmarkStart w:id="2" w:name="_Hlk137320488"/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2"/>
        </w:numPr>
        <w:spacing w:line="300" w:lineRule="auto"/>
        <w:rPr>
          <w:rFonts w:ascii="Times New Roman" w:hAnsi="Times New Roman"/>
          <w:szCs w:val="21"/>
        </w:rPr>
      </w:pPr>
      <w:r>
        <w:rPr>
          <w:rFonts w:hint="eastAsia" w:ascii="Times New Roman" w:hAnsi="Times New Roman"/>
          <w:szCs w:val="21"/>
        </w:rPr>
        <w:t>了解经济法学的研究对象、及其产生和发展</w:t>
      </w:r>
    </w:p>
    <w:p>
      <w:pPr>
        <w:numPr>
          <w:ilvl w:val="0"/>
          <w:numId w:val="2"/>
        </w:numPr>
        <w:spacing w:line="300" w:lineRule="auto"/>
        <w:rPr>
          <w:rStyle w:val="8"/>
          <w:rFonts w:ascii="宋体" w:hAnsi="宋体"/>
          <w:szCs w:val="21"/>
        </w:rPr>
      </w:pPr>
      <w:r>
        <w:rPr>
          <w:rFonts w:hint="eastAsia" w:ascii="Times New Roman" w:hAnsi="Times New Roman"/>
          <w:szCs w:val="21"/>
        </w:rPr>
        <w:t>了解</w:t>
      </w:r>
      <w:r>
        <w:rPr>
          <w:rStyle w:val="8"/>
          <w:rFonts w:hint="eastAsia" w:ascii="宋体" w:hAnsi="宋体"/>
          <w:b w:val="0"/>
          <w:bCs w:val="0"/>
        </w:rPr>
        <w:t>经济法学体系</w:t>
      </w:r>
    </w:p>
    <w:p>
      <w:pPr>
        <w:numPr>
          <w:ilvl w:val="0"/>
          <w:numId w:val="2"/>
        </w:numPr>
        <w:spacing w:line="300" w:lineRule="auto"/>
        <w:rPr>
          <w:rFonts w:ascii="宋体" w:hAnsi="宋体"/>
          <w:b/>
          <w:bCs/>
          <w:szCs w:val="21"/>
        </w:rPr>
      </w:pPr>
      <w:r>
        <w:rPr>
          <w:rStyle w:val="8"/>
          <w:rFonts w:hint="eastAsia" w:ascii="宋体" w:hAnsi="宋体"/>
          <w:b w:val="0"/>
          <w:bCs w:val="0"/>
        </w:rPr>
        <w:t>了解</w:t>
      </w:r>
      <w:r>
        <w:rPr>
          <w:rStyle w:val="8"/>
          <w:rFonts w:hint="eastAsia"/>
          <w:b w:val="0"/>
          <w:bCs w:val="0"/>
        </w:rPr>
        <w:t>学习和研究经济法学的理论指导和基本方法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Cs w:val="21"/>
        </w:rPr>
      </w:pPr>
      <w:r>
        <w:rPr>
          <w:rFonts w:hint="eastAsia" w:ascii="黑体" w:hAnsi="黑体" w:eastAsia="黑体"/>
          <w:bCs/>
          <w:szCs w:val="21"/>
        </w:rPr>
        <w:t>1、重点：</w:t>
      </w:r>
    </w:p>
    <w:p>
      <w:pPr>
        <w:pStyle w:val="5"/>
        <w:spacing w:before="0" w:beforeAutospacing="0" w:after="0" w:afterAutospacing="0" w:line="435" w:lineRule="atLeast"/>
        <w:ind w:firstLine="555"/>
        <w:rPr>
          <w:rFonts w:ascii="黑体" w:hAnsi="黑体" w:eastAsia="黑体"/>
          <w:bCs/>
          <w:szCs w:val="21"/>
        </w:rPr>
      </w:pPr>
      <w:bookmarkStart w:id="3" w:name="_Hlk137321350"/>
      <w:r>
        <w:rPr>
          <w:rFonts w:hint="eastAsia"/>
          <w:color w:val="000000"/>
        </w:rPr>
        <w:t>经济法学产生</w:t>
      </w:r>
      <w:bookmarkEnd w:id="3"/>
      <w:r>
        <w:rPr>
          <w:rFonts w:hint="eastAsia"/>
          <w:color w:val="000000"/>
        </w:rPr>
        <w:t>与发展的不平衡问题、经济法学的体系以及每个部分的主要内容、学习和研究经济法学的基本方法有哪些。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Cs w:val="21"/>
        </w:rPr>
      </w:pPr>
      <w:r>
        <w:rPr>
          <w:rFonts w:hint="eastAsia" w:ascii="黑体" w:hAnsi="黑体" w:eastAsia="黑体"/>
          <w:bCs/>
          <w:szCs w:val="21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Cs w:val="21"/>
        </w:rPr>
      </w:pPr>
      <w:r>
        <w:rPr>
          <w:rFonts w:hint="eastAsia" w:ascii="Times New Roman" w:hAnsi="宋体"/>
          <w:szCs w:val="21"/>
        </w:rPr>
        <w:t>经济法学的产生</w:t>
      </w:r>
    </w:p>
    <w:p>
      <w:pPr>
        <w:spacing w:line="300" w:lineRule="auto"/>
        <w:ind w:left="420" w:leftChars="200"/>
        <w:rPr>
          <w:rFonts w:hint="eastAsia" w:ascii="Times New Roman" w:hAnsi="宋体"/>
          <w:szCs w:val="21"/>
        </w:rPr>
      </w:pPr>
    </w:p>
    <w:bookmarkEnd w:id="1"/>
    <w:bookmarkEnd w:id="2"/>
    <w:p>
      <w:pPr>
        <w:pStyle w:val="5"/>
        <w:spacing w:before="0" w:beforeAutospacing="0" w:after="0" w:afterAutospacing="0" w:line="435" w:lineRule="atLeast"/>
        <w:ind w:left="420" w:leftChars="200" w:firstLine="480"/>
        <w:rPr>
          <w:rFonts w:hint="eastAsia"/>
        </w:rPr>
      </w:pP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第一章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经济法的概念和历史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bookmarkStart w:id="4" w:name="_Hlk117273038"/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了解经济法的调整对象，了解调整对象的界定，</w:t>
      </w:r>
    </w:p>
    <w:p>
      <w:pPr>
        <w:numPr>
          <w:ilvl w:val="0"/>
          <w:numId w:val="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了解经济法的定义以及具体的内涵</w:t>
      </w:r>
    </w:p>
    <w:p>
      <w:pPr>
        <w:numPr>
          <w:ilvl w:val="0"/>
          <w:numId w:val="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了解经济法的经济性、规制性和现代性的具体内容</w:t>
      </w:r>
    </w:p>
    <w:p>
      <w:pPr>
        <w:numPr>
          <w:ilvl w:val="0"/>
          <w:numId w:val="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了解中外各国经济法的产生与发展的历程，</w:t>
      </w:r>
    </w:p>
    <w:p>
      <w:pPr>
        <w:numPr>
          <w:ilvl w:val="0"/>
          <w:numId w:val="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了解经济法发展规律与特点</w:t>
      </w:r>
    </w:p>
    <w:p>
      <w:pPr>
        <w:spacing w:line="300" w:lineRule="auto"/>
        <w:ind w:left="782"/>
        <w:rPr>
          <w:rFonts w:hint="eastAsia" w:ascii="Times New Roman" w:hAnsi="Times New Roman"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Cs w:val="21"/>
        </w:rPr>
        <w:t>1、</w:t>
      </w:r>
      <w:r>
        <w:rPr>
          <w:rFonts w:hint="eastAsia" w:ascii="黑体" w:hAnsi="黑体" w:eastAsia="黑体"/>
          <w:bCs/>
          <w:sz w:val="24"/>
        </w:rPr>
        <w:t>重点：</w:t>
      </w:r>
    </w:p>
    <w:p>
      <w:pPr>
        <w:pStyle w:val="5"/>
        <w:spacing w:before="0" w:beforeAutospacing="0" w:after="0" w:afterAutospacing="0" w:line="435" w:lineRule="atLeast"/>
        <w:ind w:firstLine="480" w:firstLineChars="200"/>
        <w:rPr>
          <w:rFonts w:ascii="黑体" w:hAnsi="黑体" w:eastAsia="黑体"/>
          <w:bCs/>
        </w:rPr>
      </w:pPr>
      <w:r>
        <w:rPr>
          <w:rFonts w:hint="eastAsia"/>
          <w:color w:val="000000"/>
        </w:rPr>
        <w:t>经济法调整对象的界定、经济法的定义、经济法的经济性、规制性和现代性的内涵与表现，以及经济法发展的特点。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经济法经济性、规制性和现代性的具体内容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bookmarkEnd w:id="4"/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第二章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经济法的体系和地位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bookmarkStart w:id="5" w:name="_Hlk137323064"/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4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了解经济法体系的界定与经济法体系的构成</w:t>
      </w:r>
    </w:p>
    <w:p>
      <w:pPr>
        <w:numPr>
          <w:ilvl w:val="0"/>
          <w:numId w:val="4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了解经济法的主要渊源和辅助渊源的具体内容</w:t>
      </w:r>
    </w:p>
    <w:p>
      <w:pPr>
        <w:numPr>
          <w:ilvl w:val="0"/>
          <w:numId w:val="4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了解经济法在经济社会发展中的地位</w:t>
      </w:r>
    </w:p>
    <w:p>
      <w:pPr>
        <w:numPr>
          <w:ilvl w:val="0"/>
          <w:numId w:val="4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了解经济法与其他法律部门之间的关系，特别是经济法与民商法、与行政法的联系与区别</w:t>
      </w:r>
    </w:p>
    <w:p>
      <w:pPr>
        <w:spacing w:line="300" w:lineRule="auto"/>
        <w:ind w:left="862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黑体" w:hAnsi="黑体" w:eastAsia="黑体"/>
          <w:bCs/>
          <w:sz w:val="24"/>
        </w:rPr>
      </w:pPr>
      <w:r>
        <w:rPr>
          <w:rFonts w:hint="eastAsia"/>
          <w:color w:val="000000"/>
          <w:sz w:val="24"/>
        </w:rPr>
        <w:t>经济法体系的含义、经济法体系的基本构成、经济法体系的层级结构、宏观调控法和市场规制法的交叉融合问题、经济法的主要渊源、经济法在经济社会发展中的地位、经济法与民法的关系、经济法与行政法的关系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经济法与民法的</w:t>
      </w:r>
      <w:bookmarkStart w:id="6" w:name="_Hlk137324100"/>
      <w:r>
        <w:rPr>
          <w:rFonts w:hint="eastAsia" w:ascii="Times New Roman" w:hAnsi="宋体"/>
          <w:sz w:val="24"/>
        </w:rPr>
        <w:t>联系与区别</w:t>
      </w:r>
      <w:bookmarkEnd w:id="6"/>
      <w:r>
        <w:rPr>
          <w:rFonts w:hint="eastAsia" w:ascii="Times New Roman" w:hAnsi="宋体"/>
          <w:sz w:val="24"/>
        </w:rPr>
        <w:t>、经济法与行政法的联系与区别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bookmarkEnd w:id="5"/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第三章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经济法的宗旨和原则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了解经济法宗旨的定义与内容</w:t>
      </w:r>
    </w:p>
    <w:p>
      <w:pPr>
        <w:numPr>
          <w:ilvl w:val="0"/>
          <w:numId w:val="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领会经济法宗旨的确立标准和确立方法、经济法宗旨的提炼、宗旨中的重要目标</w:t>
      </w:r>
    </w:p>
    <w:p>
      <w:pPr>
        <w:numPr>
          <w:ilvl w:val="0"/>
          <w:numId w:val="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了解经济法基本原则的具体内容</w:t>
      </w:r>
    </w:p>
    <w:p>
      <w:pPr>
        <w:numPr>
          <w:ilvl w:val="0"/>
          <w:numId w:val="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了解经济法基本原则的确立标准及确立方法。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黑体" w:hAnsi="黑体" w:eastAsia="黑体"/>
          <w:bCs/>
          <w:sz w:val="24"/>
        </w:rPr>
      </w:pPr>
      <w:r>
        <w:rPr>
          <w:rFonts w:hint="eastAsia"/>
          <w:color w:val="000000"/>
          <w:sz w:val="24"/>
        </w:rPr>
        <w:t>除基本理论部分之外，还需要注重应用方面应当了解的问题，包括经济法宗旨的研究价值及经济法三项基本原则的主要内容。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市场决定性原则的内容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第四章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经济法的主体和行为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6"/>
        </w:numPr>
        <w:spacing w:line="300" w:lineRule="auto"/>
        <w:rPr>
          <w:rFonts w:hint="eastAsia"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了解经济法主体的概念与类型</w:t>
      </w:r>
    </w:p>
    <w:p>
      <w:pPr>
        <w:numPr>
          <w:ilvl w:val="0"/>
          <w:numId w:val="6"/>
        </w:numPr>
        <w:spacing w:line="300" w:lineRule="auto"/>
        <w:rPr>
          <w:rFonts w:hint="eastAsia"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了解经济法主体之间的差异性</w:t>
      </w:r>
    </w:p>
    <w:p>
      <w:pPr>
        <w:numPr>
          <w:ilvl w:val="0"/>
          <w:numId w:val="6"/>
        </w:numPr>
        <w:spacing w:line="300" w:lineRule="auto"/>
        <w:rPr>
          <w:rFonts w:hint="eastAsia"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了解经济法主体行为的类型</w:t>
      </w:r>
    </w:p>
    <w:p>
      <w:pPr>
        <w:numPr>
          <w:ilvl w:val="0"/>
          <w:numId w:val="6"/>
        </w:numPr>
        <w:spacing w:line="300" w:lineRule="auto"/>
        <w:rPr>
          <w:rFonts w:hint="eastAsia"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了解经济法主体行为的属性</w:t>
      </w:r>
    </w:p>
    <w:p>
      <w:pPr>
        <w:numPr>
          <w:ilvl w:val="0"/>
          <w:numId w:val="6"/>
        </w:numPr>
        <w:spacing w:line="300" w:lineRule="auto"/>
        <w:rPr>
          <w:rFonts w:hint="eastAsia"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了解对经济法主体行为的评价标准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pStyle w:val="5"/>
        <w:spacing w:before="0" w:beforeAutospacing="0" w:after="0" w:afterAutospacing="0" w:line="435" w:lineRule="atLeast"/>
        <w:ind w:firstLine="555"/>
        <w:rPr>
          <w:rFonts w:ascii="黑体" w:hAnsi="黑体" w:eastAsia="黑体"/>
          <w:bCs/>
        </w:rPr>
      </w:pPr>
      <w:r>
        <w:rPr>
          <w:rFonts w:hint="eastAsia"/>
          <w:color w:val="000000"/>
        </w:rPr>
        <w:t>主体理论：经济法主体的界定；经济法主体的分类；经济法上的主体组合；经济法主体的二元结构；</w:t>
      </w:r>
      <w:bookmarkStart w:id="7" w:name="_Hlk137324764"/>
      <w:r>
        <w:rPr>
          <w:rFonts w:hint="eastAsia"/>
          <w:color w:val="000000"/>
        </w:rPr>
        <w:t>经济法主体的能力</w:t>
      </w:r>
      <w:bookmarkEnd w:id="7"/>
      <w:r>
        <w:rPr>
          <w:rFonts w:hint="eastAsia"/>
          <w:color w:val="000000"/>
        </w:rPr>
        <w:t>。行为理论：研究行为理论的价值；经济法主体行为的属性；经济法主体行为的类别；经济法主体行为的主观要素和客观要素；经济法主体行为的层级性。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经济法主体的能力；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firstLine="480"/>
      </w:pPr>
    </w:p>
    <w:p>
      <w:pPr>
        <w:pStyle w:val="5"/>
        <w:spacing w:before="0" w:beforeAutospacing="0" w:after="0" w:afterAutospacing="0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第五章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经济法主体的权利、义务和责任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bookmarkStart w:id="8" w:name="_Hlk137326323"/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了解经济法主体权利和义务的类型与内容</w:t>
      </w:r>
    </w:p>
    <w:p>
      <w:pPr>
        <w:numPr>
          <w:ilvl w:val="0"/>
          <w:numId w:val="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了解经济法主体权利和义务的特殊性</w:t>
      </w:r>
    </w:p>
    <w:p>
      <w:pPr>
        <w:numPr>
          <w:ilvl w:val="0"/>
          <w:numId w:val="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了解经济法责任的界定</w:t>
      </w:r>
    </w:p>
    <w:p>
      <w:pPr>
        <w:numPr>
          <w:ilvl w:val="0"/>
          <w:numId w:val="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经济法责任的类型了解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宏观调控权和市场规制权的特征、经济法主体权义配置内容的二重性、经济法主体权义配置结构的不对称性、经济法责任的独立性、</w:t>
      </w:r>
      <w:bookmarkStart w:id="9" w:name="_Hlk137326604"/>
      <w:r>
        <w:rPr>
          <w:rFonts w:hint="eastAsia" w:ascii="宋体" w:hAnsi="宋体"/>
          <w:bCs/>
          <w:sz w:val="24"/>
        </w:rPr>
        <w:t>经济法责任的特殊性</w:t>
      </w:r>
      <w:bookmarkEnd w:id="9"/>
      <w:r>
        <w:rPr>
          <w:rFonts w:hint="eastAsia" w:ascii="宋体" w:hAnsi="宋体"/>
          <w:bCs/>
          <w:sz w:val="24"/>
        </w:rPr>
        <w:t>、调制主体的责任、调制受体的责任。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经济法责任的特殊性及其具体内容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bookmarkEnd w:id="8"/>
    <w:p>
      <w:pPr>
        <w:pStyle w:val="5"/>
        <w:spacing w:before="0" w:beforeAutospacing="0" w:after="0" w:afterAutospacing="0" w:line="435" w:lineRule="atLeast"/>
        <w:ind w:firstLine="480"/>
        <w:jc w:val="center"/>
        <w:rPr>
          <w:rStyle w:val="8"/>
          <w:color w:val="000000"/>
        </w:rPr>
      </w:pP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Style w:val="8"/>
          <w:rFonts w:hint="eastAsia"/>
          <w:color w:val="000000"/>
        </w:rPr>
      </w:pP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第六章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经济法的制定和实施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bookmarkStart w:id="10" w:name="_Hlk137326361"/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了解影响经济法制定的外部因素的具体内容；</w:t>
      </w:r>
    </w:p>
    <w:p>
      <w:pPr>
        <w:numPr>
          <w:ilvl w:val="0"/>
          <w:numId w:val="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了解经济法制定的特点</w:t>
      </w:r>
    </w:p>
    <w:p>
      <w:pPr>
        <w:numPr>
          <w:ilvl w:val="0"/>
          <w:numId w:val="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了解经济法制定的意义</w:t>
      </w:r>
    </w:p>
    <w:p>
      <w:pPr>
        <w:numPr>
          <w:ilvl w:val="0"/>
          <w:numId w:val="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</w:t>
      </w:r>
      <w:bookmarkStart w:id="11" w:name="_Hlk137327191"/>
      <w:r>
        <w:rPr>
          <w:rFonts w:hint="eastAsia"/>
          <w:color w:val="000000"/>
        </w:rPr>
        <w:t>经济法实施的特点与实施的意义</w:t>
      </w:r>
      <w:bookmarkEnd w:id="11"/>
    </w:p>
    <w:p>
      <w:pPr>
        <w:numPr>
          <w:ilvl w:val="0"/>
          <w:numId w:val="8"/>
        </w:numPr>
        <w:spacing w:line="300" w:lineRule="auto"/>
        <w:rPr>
          <w:rFonts w:hint="eastAsia" w:ascii="Times New Roman" w:hAnsi="Times New Roman"/>
          <w:sz w:val="24"/>
        </w:rPr>
      </w:pPr>
      <w:r>
        <w:rPr>
          <w:rFonts w:hint="eastAsia"/>
          <w:color w:val="000000"/>
        </w:rPr>
        <w:t>了解影响经济法实施的重大因素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pStyle w:val="5"/>
        <w:spacing w:before="0" w:beforeAutospacing="0" w:after="0" w:afterAutospacing="0" w:line="435" w:lineRule="atLeast"/>
        <w:ind w:firstLine="480" w:firstLineChars="200"/>
      </w:pPr>
      <w:r>
        <w:rPr>
          <w:rFonts w:hint="eastAsia"/>
          <w:color w:val="000000"/>
        </w:rPr>
        <w:t>影响经济法制定的因素、我国经济法制定的现状、经济法的实施程序、经济法司法中的主要问题、改善经济法实施的途径。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经济法实施的特点与实施的意义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bookmarkEnd w:id="10"/>
    <w:p>
      <w:pPr>
        <w:pStyle w:val="5"/>
        <w:spacing w:before="0" w:beforeAutospacing="0" w:after="0" w:afterAutospacing="0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第七章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宏观调控法的基本理论与制度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了解宏观调控、宏观调控法、宏观调控权等的重要概念的内容</w:t>
      </w:r>
    </w:p>
    <w:p>
      <w:pPr>
        <w:numPr>
          <w:ilvl w:val="0"/>
          <w:numId w:val="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了解宏观调控法体系与调整方式</w:t>
      </w:r>
    </w:p>
    <w:p>
      <w:pPr>
        <w:numPr>
          <w:ilvl w:val="0"/>
          <w:numId w:val="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/>
          <w:color w:val="000000"/>
        </w:rPr>
        <w:t>了解宏观调控法的主体、配置、程序、法律责任等的具体内容</w:t>
      </w:r>
    </w:p>
    <w:p>
      <w:pPr>
        <w:numPr>
          <w:ilvl w:val="0"/>
          <w:numId w:val="9"/>
        </w:numPr>
        <w:spacing w:line="300" w:lineRule="auto"/>
        <w:rPr>
          <w:rFonts w:hint="eastAsia" w:ascii="Times New Roman" w:hAnsi="Times New Roman"/>
          <w:sz w:val="24"/>
        </w:rPr>
      </w:pPr>
      <w:r>
        <w:rPr>
          <w:rFonts w:hint="eastAsia"/>
          <w:color w:val="000000"/>
        </w:rPr>
        <w:t>在应用方面还要结合我国宏观调控运行实践，分析宏观调控法基本原则、宏观调控权的配置和宏观调控综合协调的必要性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bookmarkStart w:id="12" w:name="_Hlk137363978"/>
      <w:r>
        <w:rPr>
          <w:rFonts w:hint="eastAsia" w:ascii="宋体" w:hAnsi="宋体"/>
          <w:bCs/>
          <w:sz w:val="24"/>
        </w:rPr>
        <w:t>宏观调控关系的特征</w:t>
      </w:r>
      <w:bookmarkEnd w:id="12"/>
      <w:r>
        <w:rPr>
          <w:rFonts w:hint="eastAsia" w:ascii="宋体" w:hAnsi="宋体"/>
          <w:bCs/>
          <w:sz w:val="24"/>
        </w:rPr>
        <w:t>、原则、调整方法、宏观调控权及其配置。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关于宏观调控关系的间接性、诱导性、长期性与弱可诉性的内容与理解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第八章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财政调控法律制度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0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理解财政及其职能的主要内容</w:t>
      </w:r>
    </w:p>
    <w:p>
      <w:pPr>
        <w:numPr>
          <w:ilvl w:val="0"/>
          <w:numId w:val="10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了解财政法的调整对象、基本原则和调整手段</w:t>
      </w:r>
    </w:p>
    <w:p>
      <w:pPr>
        <w:numPr>
          <w:ilvl w:val="0"/>
          <w:numId w:val="10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了解预算权的配置以及预算法律制度的基本内容</w:t>
      </w:r>
    </w:p>
    <w:p>
      <w:pPr>
        <w:numPr>
          <w:ilvl w:val="0"/>
          <w:numId w:val="10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了解国债发行与流通法律制度的基本内容</w:t>
      </w:r>
    </w:p>
    <w:p>
      <w:pPr>
        <w:numPr>
          <w:ilvl w:val="0"/>
          <w:numId w:val="10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了解政府采购的基本制度的主要内容</w:t>
      </w:r>
    </w:p>
    <w:p>
      <w:pPr>
        <w:numPr>
          <w:ilvl w:val="0"/>
          <w:numId w:val="10"/>
        </w:numPr>
        <w:spacing w:line="300" w:lineRule="auto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了解转移支付的基本制度的主要内容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20" w:firstLineChars="200"/>
        <w:rPr>
          <w:rFonts w:ascii="宋体" w:hAnsi="宋体"/>
          <w:bCs/>
          <w:sz w:val="24"/>
        </w:rPr>
      </w:pPr>
      <w:r>
        <w:rPr>
          <w:rFonts w:hint="eastAsia"/>
          <w:color w:val="000000"/>
        </w:rPr>
        <w:t>财政及其职能、</w:t>
      </w:r>
      <w:bookmarkStart w:id="13" w:name="_Hlk137371465"/>
      <w:r>
        <w:rPr>
          <w:rFonts w:hint="eastAsia"/>
          <w:color w:val="000000"/>
        </w:rPr>
        <w:t>财政法的调整手段</w:t>
      </w:r>
      <w:bookmarkEnd w:id="13"/>
      <w:r>
        <w:rPr>
          <w:rFonts w:hint="eastAsia"/>
          <w:color w:val="000000"/>
        </w:rPr>
        <w:t>、预算体制、预算审批法律制度、国债调控与国债法、政府采购与宏观调控、政府采购的基本制度、</w:t>
      </w:r>
      <w:bookmarkStart w:id="14" w:name="_Hlk137371451"/>
      <w:r>
        <w:rPr>
          <w:rFonts w:hint="eastAsia"/>
          <w:color w:val="000000"/>
        </w:rPr>
        <w:t>财政转移支付</w:t>
      </w:r>
      <w:bookmarkEnd w:id="14"/>
      <w:r>
        <w:rPr>
          <w:rFonts w:hint="eastAsia"/>
          <w:color w:val="000000"/>
        </w:rPr>
        <w:t>与宏观调控、转移支付的基本制度。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财政法的调整手段的原理；财政转移支付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Style w:val="8"/>
          <w:color w:val="000000"/>
        </w:rPr>
      </w:pP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第九章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税收调控法律制度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了解税收、税法、税法的定义与构成要素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了解税法主体与纳税义务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了解征税客体、税目与计税依据、税率、税收特别措施、税收时间和地点等课税要件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了解税收征纳实体法律制度的基本内容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了解税收征纳程序法律制度基本内容</w:t>
      </w:r>
    </w:p>
    <w:p>
      <w:pPr>
        <w:numPr>
          <w:ilvl w:val="0"/>
          <w:numId w:val="11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了解重复征税与税收逃避的防止的内容</w:t>
      </w:r>
    </w:p>
    <w:p>
      <w:pPr>
        <w:numPr>
          <w:ilvl w:val="0"/>
          <w:numId w:val="11"/>
        </w:numPr>
        <w:spacing w:line="300" w:lineRule="auto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了解税收法中主要违法行为的类型与法律责任的基本内容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课程</w:t>
      </w:r>
      <w:r>
        <w:rPr>
          <w:rFonts w:hint="eastAsia" w:ascii="黑体" w:hAnsi="黑体" w:eastAsia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税法的构成要素、税收体制改革、商品税法律制度、所得税法律制度、税款征收制度等。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增值税法的主要内容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firstLine="480"/>
        <w:rPr>
          <w:rFonts w:hint="eastAsia"/>
        </w:rPr>
      </w:pP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240" w:lineRule="atLeast"/>
        <w:ind w:firstLine="482"/>
        <w:jc w:val="center"/>
      </w:pPr>
      <w:r>
        <w:rPr>
          <w:rStyle w:val="8"/>
          <w:rFonts w:hint="eastAsia"/>
          <w:color w:val="000000"/>
        </w:rPr>
        <w:t>第十章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金融调控法律制度</w:t>
      </w:r>
    </w:p>
    <w:p>
      <w:pPr>
        <w:pStyle w:val="5"/>
        <w:spacing w:line="240" w:lineRule="atLeast"/>
        <w:ind w:firstLine="482"/>
        <w:rPr>
          <w:rStyle w:val="8"/>
          <w:rFonts w:hint="eastAsia" w:asciiTheme="minorEastAsia" w:hAnsiTheme="minorEastAsia" w:eastAsiaTheme="minorEastAsia" w:cstheme="minorEastAsia"/>
          <w:b/>
          <w:bCs w:val="0"/>
          <w:color w:val="00000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1"/>
          <w:szCs w:val="21"/>
          <w:lang w:val="en-US" w:eastAsia="zh-CN"/>
        </w:rPr>
        <w:t>课程</w:t>
      </w:r>
      <w:r>
        <w:rPr>
          <w:rStyle w:val="8"/>
          <w:rFonts w:hint="eastAsia" w:asciiTheme="minorEastAsia" w:hAnsiTheme="minorEastAsia" w:eastAsiaTheme="minorEastAsia" w:cstheme="minorEastAsia"/>
          <w:b/>
          <w:bCs w:val="0"/>
          <w:color w:val="000000"/>
          <w:sz w:val="21"/>
          <w:szCs w:val="21"/>
        </w:rPr>
        <w:t>内容：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b w:val="0"/>
          <w:bCs w:val="0"/>
          <w:color w:val="000000"/>
        </w:rPr>
      </w:pPr>
      <w:r>
        <w:rPr>
          <w:rStyle w:val="8"/>
          <w:rFonts w:hint="eastAsia"/>
          <w:b w:val="0"/>
          <w:bCs w:val="0"/>
          <w:color w:val="000000"/>
        </w:rPr>
        <w:t>了解金融的概念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b w:val="0"/>
          <w:bCs w:val="0"/>
          <w:color w:val="000000"/>
        </w:rPr>
      </w:pPr>
      <w:r>
        <w:rPr>
          <w:rStyle w:val="8"/>
          <w:b w:val="0"/>
          <w:bCs w:val="0"/>
          <w:color w:val="000000"/>
        </w:rPr>
        <w:t>了解金融调控的具体内容</w:t>
      </w:r>
      <w:r>
        <w:rPr>
          <w:rStyle w:val="8"/>
          <w:rFonts w:hint="eastAsia"/>
          <w:b w:val="0"/>
          <w:bCs w:val="0"/>
          <w:color w:val="000000"/>
        </w:rPr>
        <w:t>及其特征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b w:val="0"/>
          <w:bCs w:val="0"/>
          <w:color w:val="000000"/>
        </w:rPr>
      </w:pPr>
      <w:r>
        <w:rPr>
          <w:rStyle w:val="8"/>
          <w:b w:val="0"/>
          <w:bCs w:val="0"/>
          <w:color w:val="000000"/>
        </w:rPr>
        <w:t>了解</w:t>
      </w:r>
      <w:r>
        <w:rPr>
          <w:rStyle w:val="8"/>
          <w:rFonts w:hint="eastAsia"/>
          <w:b w:val="0"/>
          <w:bCs w:val="0"/>
          <w:color w:val="000000"/>
        </w:rPr>
        <w:t>金融调控法的体系与手段、中央银行的法律地位和调控职能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b w:val="0"/>
          <w:bCs w:val="0"/>
          <w:color w:val="000000"/>
        </w:rPr>
      </w:pPr>
      <w:r>
        <w:rPr>
          <w:rStyle w:val="8"/>
          <w:b w:val="0"/>
          <w:bCs w:val="0"/>
          <w:color w:val="000000"/>
        </w:rPr>
        <w:t>了解中央银行</w:t>
      </w:r>
      <w:r>
        <w:rPr>
          <w:rStyle w:val="8"/>
          <w:rFonts w:hint="eastAsia"/>
          <w:b w:val="0"/>
          <w:bCs w:val="0"/>
          <w:color w:val="000000"/>
        </w:rPr>
        <w:t>货币政策目标、中央银行调控的保障制度的主要内容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b w:val="0"/>
          <w:bCs w:val="0"/>
          <w:color w:val="000000"/>
        </w:rPr>
      </w:pPr>
      <w:r>
        <w:rPr>
          <w:rStyle w:val="8"/>
          <w:b w:val="0"/>
          <w:bCs w:val="0"/>
          <w:color w:val="000000"/>
        </w:rPr>
        <w:t>了解</w:t>
      </w:r>
      <w:r>
        <w:rPr>
          <w:rStyle w:val="8"/>
          <w:rFonts w:hint="eastAsia"/>
          <w:b w:val="0"/>
          <w:bCs w:val="0"/>
          <w:color w:val="000000"/>
        </w:rPr>
        <w:t>商业银行法中的调控制度的基本内容</w:t>
      </w:r>
    </w:p>
    <w:p>
      <w:pPr>
        <w:pStyle w:val="5"/>
        <w:numPr>
          <w:ilvl w:val="0"/>
          <w:numId w:val="12"/>
        </w:numPr>
        <w:spacing w:line="360" w:lineRule="auto"/>
        <w:rPr>
          <w:rStyle w:val="8"/>
          <w:rFonts w:hint="eastAsia"/>
          <w:b w:val="0"/>
          <w:bCs w:val="0"/>
          <w:color w:val="000000"/>
        </w:rPr>
      </w:pPr>
      <w:r>
        <w:rPr>
          <w:rStyle w:val="8"/>
          <w:b w:val="0"/>
          <w:bCs w:val="0"/>
          <w:color w:val="000000"/>
        </w:rPr>
        <w:t>了解</w:t>
      </w:r>
      <w:r>
        <w:rPr>
          <w:rStyle w:val="8"/>
          <w:rFonts w:hint="eastAsia"/>
          <w:b w:val="0"/>
          <w:bCs w:val="0"/>
          <w:color w:val="000000"/>
        </w:rPr>
        <w:t>外汇管理法中的调控制度的基本内容</w:t>
      </w:r>
    </w:p>
    <w:p>
      <w:pPr>
        <w:pStyle w:val="5"/>
        <w:spacing w:line="240" w:lineRule="atLeast"/>
        <w:ind w:firstLine="482"/>
        <w:rPr>
          <w:rStyle w:val="8"/>
          <w:color w:val="000000"/>
        </w:rPr>
      </w:pPr>
    </w:p>
    <w:p>
      <w:pPr>
        <w:pStyle w:val="5"/>
        <w:spacing w:line="240" w:lineRule="atLeast"/>
        <w:ind w:firstLine="482"/>
        <w:rPr>
          <w:rStyle w:val="8"/>
          <w:rFonts w:hint="eastAsia"/>
          <w:color w:val="000000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课程</w:t>
      </w:r>
      <w:r>
        <w:rPr>
          <w:rStyle w:val="8"/>
          <w:rFonts w:hint="eastAsia"/>
          <w:color w:val="000000"/>
        </w:rPr>
        <w:t>重点与难点：</w:t>
      </w:r>
    </w:p>
    <w:p>
      <w:pPr>
        <w:pStyle w:val="5"/>
        <w:spacing w:line="240" w:lineRule="atLeast"/>
        <w:ind w:firstLine="482"/>
        <w:rPr>
          <w:rStyle w:val="8"/>
          <w:rFonts w:hint="eastAsia"/>
          <w:color w:val="000000"/>
        </w:rPr>
      </w:pPr>
      <w:r>
        <w:rPr>
          <w:rStyle w:val="8"/>
          <w:rFonts w:hint="eastAsia"/>
          <w:color w:val="000000"/>
        </w:rPr>
        <w:t>1、重点：</w:t>
      </w:r>
    </w:p>
    <w:p>
      <w:pPr>
        <w:pStyle w:val="5"/>
        <w:spacing w:before="0" w:beforeAutospacing="0" w:after="0" w:afterAutospacing="0" w:line="360" w:lineRule="auto"/>
        <w:ind w:firstLine="555"/>
        <w:rPr>
          <w:rStyle w:val="8"/>
          <w:color w:val="000000"/>
        </w:rPr>
      </w:pPr>
      <w:r>
        <w:rPr>
          <w:rFonts w:hint="eastAsia"/>
          <w:color w:val="000000"/>
        </w:rPr>
        <w:t>我国货币目标的现实选择、</w:t>
      </w:r>
      <w:bookmarkStart w:id="15" w:name="_Hlk137372620"/>
      <w:r>
        <w:rPr>
          <w:rFonts w:hint="eastAsia"/>
          <w:color w:val="000000"/>
        </w:rPr>
        <w:t>存款准备金制度</w:t>
      </w:r>
      <w:bookmarkEnd w:id="15"/>
      <w:r>
        <w:rPr>
          <w:rFonts w:hint="eastAsia"/>
          <w:color w:val="000000"/>
        </w:rPr>
        <w:t>、再贴现制度、公开市场操作、中央银行的法律地位和调控职能、金融调控法的原则、我国的外汇管理体制、宏观审慎管理。</w:t>
      </w:r>
    </w:p>
    <w:p>
      <w:pPr>
        <w:pStyle w:val="5"/>
        <w:spacing w:line="240" w:lineRule="atLeast"/>
        <w:ind w:firstLine="482"/>
        <w:rPr>
          <w:rStyle w:val="8"/>
          <w:rFonts w:hint="eastAsia"/>
          <w:color w:val="000000"/>
        </w:rPr>
      </w:pPr>
      <w:r>
        <w:rPr>
          <w:rStyle w:val="8"/>
          <w:rFonts w:hint="eastAsia"/>
          <w:color w:val="000000"/>
        </w:rPr>
        <w:t>2、难点：</w:t>
      </w:r>
    </w:p>
    <w:p>
      <w:pPr>
        <w:pStyle w:val="5"/>
        <w:spacing w:line="240" w:lineRule="atLeast"/>
        <w:ind w:firstLine="482"/>
        <w:rPr>
          <w:rStyle w:val="8"/>
          <w:b w:val="0"/>
          <w:bCs w:val="0"/>
          <w:color w:val="000000"/>
        </w:rPr>
      </w:pPr>
      <w:r>
        <w:rPr>
          <w:rStyle w:val="8"/>
          <w:rFonts w:hint="eastAsia"/>
          <w:b w:val="0"/>
          <w:bCs w:val="0"/>
          <w:color w:val="000000"/>
        </w:rPr>
        <w:t>存款准备金制度；宏观审慎管理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  <w:color w:val="000000"/>
        </w:rPr>
        <w:t>第十一章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计划调控法律制度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理解计划、国家计划、计划法等概念</w:t>
      </w:r>
    </w:p>
    <w:p>
      <w:pPr>
        <w:numPr>
          <w:ilvl w:val="0"/>
          <w:numId w:val="1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了解计划法体系的基本内容</w:t>
      </w:r>
    </w:p>
    <w:p>
      <w:pPr>
        <w:numPr>
          <w:ilvl w:val="0"/>
          <w:numId w:val="13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</w:t>
      </w:r>
      <w:bookmarkStart w:id="16" w:name="_Hlk137373439"/>
      <w:r>
        <w:rPr>
          <w:rFonts w:hint="eastAsia" w:ascii="Times New Roman" w:hAnsi="Times New Roman"/>
          <w:sz w:val="24"/>
        </w:rPr>
        <w:t>国家计划的特征、国家计划的分类、国家计划的地位和作用、我国计划法的立法状况、我国计划法的特征和基本原则</w:t>
      </w:r>
      <w:bookmarkEnd w:id="16"/>
    </w:p>
    <w:p>
      <w:pPr>
        <w:numPr>
          <w:ilvl w:val="0"/>
          <w:numId w:val="13"/>
        </w:numPr>
        <w:spacing w:line="300" w:lineRule="auto"/>
        <w:rPr>
          <w:rFonts w:hint="eastAsia"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了解计划实体法律制度、计划程序法律制度、计划法律责任制度的基本内容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bookmarkStart w:id="17" w:name="_Hlk137373473"/>
      <w:r>
        <w:rPr>
          <w:rFonts w:hint="eastAsia" w:ascii="宋体" w:hAnsi="宋体"/>
          <w:bCs/>
          <w:sz w:val="24"/>
        </w:rPr>
        <w:t>国家计划</w:t>
      </w:r>
      <w:bookmarkEnd w:id="17"/>
      <w:r>
        <w:rPr>
          <w:rFonts w:hint="eastAsia" w:ascii="宋体" w:hAnsi="宋体"/>
          <w:bCs/>
          <w:sz w:val="24"/>
        </w:rPr>
        <w:t>的特征、国家计划的分类、国家计划的地位和作用、我国计划法的立法状况、我国计划法的特征和基本原则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国家计划对经济可持续发展的宏观调控作用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left="840" w:leftChars="400" w:firstLine="555"/>
        <w:rPr>
          <w:rFonts w:hint="eastAsia" w:eastAsia="宋体"/>
          <w:b/>
          <w:bCs/>
          <w:lang w:eastAsia="zh-CN"/>
        </w:rPr>
      </w:pPr>
      <w:bookmarkStart w:id="18" w:name="_Hlk137374037"/>
      <w:r>
        <w:rPr>
          <w:rStyle w:val="8"/>
          <w:rFonts w:hint="eastAsia"/>
          <w:b w:val="0"/>
          <w:bCs w:val="0"/>
          <w:color w:val="000000"/>
        </w:rPr>
        <w:t xml:space="preserve">                        </w:t>
      </w:r>
      <w:bookmarkEnd w:id="18"/>
      <w:r>
        <w:rPr>
          <w:rStyle w:val="8"/>
          <w:rFonts w:hint="eastAsia"/>
          <w:b w:val="0"/>
          <w:bCs w:val="0"/>
          <w:color w:val="000000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Fonts w:hint="eastAsia" w:eastAsia="宋体"/>
          <w:lang w:eastAsia="zh-CN"/>
        </w:rPr>
      </w:pPr>
      <w:r>
        <w:rPr>
          <w:rStyle w:val="8"/>
          <w:rFonts w:hint="eastAsia"/>
          <w:color w:val="000000"/>
        </w:rPr>
        <w:t>第十二章</w:t>
      </w:r>
      <w:r>
        <w:rPr>
          <w:rStyle w:val="8"/>
          <w:rFonts w:cs="Calibri"/>
          <w:color w:val="000000"/>
        </w:rPr>
        <w:t> </w:t>
      </w:r>
      <w:r>
        <w:rPr>
          <w:rStyle w:val="8"/>
          <w:rFonts w:hint="eastAsia"/>
          <w:color w:val="000000"/>
        </w:rPr>
        <w:t xml:space="preserve"> 市场规制法的基本理论与制度</w:t>
      </w:r>
      <w:r>
        <w:rPr>
          <w:rStyle w:val="8"/>
          <w:rFonts w:hint="eastAsia"/>
          <w:color w:val="000000"/>
          <w:lang w:val="en-US" w:eastAsia="zh-CN"/>
        </w:rPr>
        <w:t xml:space="preserve"> 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4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了解市场规制法的经济学基础知识</w:t>
      </w:r>
    </w:p>
    <w:p>
      <w:pPr>
        <w:numPr>
          <w:ilvl w:val="0"/>
          <w:numId w:val="14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</w:t>
      </w:r>
      <w:bookmarkStart w:id="19" w:name="_Hlk137373911"/>
      <w:r>
        <w:rPr>
          <w:rFonts w:hint="eastAsia" w:ascii="Times New Roman" w:hAnsi="Times New Roman"/>
          <w:sz w:val="24"/>
        </w:rPr>
        <w:t>市场规制法</w:t>
      </w:r>
      <w:bookmarkEnd w:id="19"/>
      <w:r>
        <w:rPr>
          <w:rFonts w:hint="eastAsia" w:ascii="Times New Roman" w:hAnsi="Times New Roman"/>
          <w:sz w:val="24"/>
        </w:rPr>
        <w:t>的产生和发展的经纬</w:t>
      </w:r>
    </w:p>
    <w:p>
      <w:pPr>
        <w:numPr>
          <w:ilvl w:val="0"/>
          <w:numId w:val="14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了解市场规制法的概念、体系和地位，价值</w:t>
      </w:r>
    </w:p>
    <w:p>
      <w:pPr>
        <w:numPr>
          <w:ilvl w:val="0"/>
          <w:numId w:val="14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了解市场规制法的宗旨和基本原则的具体内容</w:t>
      </w:r>
    </w:p>
    <w:p>
      <w:pPr>
        <w:numPr>
          <w:ilvl w:val="0"/>
          <w:numId w:val="14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了解市场规制法的主体、权利、义务和责任等的主要内容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bookmarkStart w:id="20" w:name="_Hlk137374007"/>
      <w:r>
        <w:rPr>
          <w:rFonts w:hint="eastAsia" w:ascii="宋体" w:hAnsi="宋体"/>
          <w:bCs/>
          <w:sz w:val="24"/>
        </w:rPr>
        <w:t>产业组织理论</w:t>
      </w:r>
      <w:bookmarkEnd w:id="20"/>
      <w:r>
        <w:rPr>
          <w:rFonts w:hint="eastAsia" w:ascii="宋体" w:hAnsi="宋体"/>
          <w:bCs/>
          <w:sz w:val="24"/>
        </w:rPr>
        <w:t>、市场规制法的产生及其原因、市场规制法的体系构成、特别市场规制制度、市场规制法的宗旨、市场规制法的原则、市场规制法的调整方式、市场规制法主体制度、市场规制法配置制度、市场规制法责任制度。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产业组织理论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left="840" w:leftChars="400" w:firstLine="555"/>
        <w:rPr>
          <w:rFonts w:hint="eastAsia" w:eastAsia="宋体"/>
          <w:b/>
          <w:bCs/>
          <w:lang w:eastAsia="zh-CN"/>
        </w:rPr>
      </w:pPr>
      <w:r>
        <w:rPr>
          <w:rStyle w:val="8"/>
          <w:rFonts w:hint="eastAsia"/>
          <w:b w:val="0"/>
          <w:bCs w:val="0"/>
          <w:color w:val="000000"/>
        </w:rPr>
        <w:t xml:space="preserve">                        </w:t>
      </w:r>
      <w:r>
        <w:rPr>
          <w:rStyle w:val="8"/>
          <w:b w:val="0"/>
          <w:bCs w:val="0"/>
          <w:color w:val="000000"/>
        </w:rPr>
        <w:t xml:space="preserve"> </w:t>
      </w:r>
      <w:r>
        <w:rPr>
          <w:rStyle w:val="8"/>
          <w:rFonts w:hint="eastAsia"/>
          <w:b w:val="0"/>
          <w:bCs w:val="0"/>
          <w:color w:val="000000"/>
        </w:rPr>
        <w:t xml:space="preserve">  </w:t>
      </w:r>
      <w:r>
        <w:rPr>
          <w:rStyle w:val="8"/>
          <w:rFonts w:hint="eastAsia"/>
          <w:b w:val="0"/>
          <w:bCs w:val="0"/>
          <w:color w:val="000000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 w:line="435" w:lineRule="atLeast"/>
        <w:ind w:left="840" w:leftChars="400" w:firstLine="555"/>
        <w:rPr>
          <w:rFonts w:hint="eastAsia" w:eastAsia="宋体"/>
          <w:b/>
          <w:bCs/>
          <w:lang w:eastAsia="zh-CN"/>
        </w:rPr>
      </w:pPr>
      <w:r>
        <w:rPr>
          <w:rStyle w:val="8"/>
          <w:rFonts w:hint="eastAsia"/>
          <w:b w:val="0"/>
          <w:bCs w:val="0"/>
          <w:color w:val="000000"/>
        </w:rPr>
        <w:t xml:space="preserve">  </w:t>
      </w:r>
      <w:bookmarkStart w:id="21" w:name="_Hlk137374717"/>
      <w:r>
        <w:rPr>
          <w:rStyle w:val="8"/>
          <w:rFonts w:hint="eastAsia"/>
          <w:b w:val="0"/>
          <w:bCs w:val="0"/>
          <w:color w:val="000000"/>
        </w:rPr>
        <w:t xml:space="preserve">                   </w:t>
      </w:r>
      <w:r>
        <w:rPr>
          <w:rStyle w:val="8"/>
          <w:b w:val="0"/>
          <w:bCs w:val="0"/>
          <w:color w:val="000000"/>
        </w:rPr>
        <w:t xml:space="preserve"> </w:t>
      </w:r>
      <w:r>
        <w:rPr>
          <w:rStyle w:val="8"/>
          <w:rFonts w:hint="eastAsia"/>
          <w:b w:val="0"/>
          <w:bCs w:val="0"/>
          <w:color w:val="000000"/>
        </w:rPr>
        <w:t xml:space="preserve">    </w:t>
      </w:r>
      <w:bookmarkEnd w:id="21"/>
      <w:r>
        <w:rPr>
          <w:rStyle w:val="8"/>
          <w:rFonts w:hint="eastAsia"/>
          <w:b w:val="0"/>
          <w:bCs w:val="0"/>
          <w:color w:val="000000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Fonts w:hint="eastAsia" w:eastAsia="宋体"/>
          <w:lang w:eastAsia="zh-CN"/>
        </w:rPr>
      </w:pPr>
      <w:r>
        <w:rPr>
          <w:rStyle w:val="8"/>
          <w:rFonts w:hint="eastAsia"/>
        </w:rPr>
        <w:t>第十三章</w:t>
      </w:r>
      <w:r>
        <w:rPr>
          <w:rStyle w:val="8"/>
          <w:rFonts w:cs="Calibri"/>
        </w:rPr>
        <w:t>  </w:t>
      </w:r>
      <w:r>
        <w:rPr>
          <w:rStyle w:val="8"/>
          <w:rFonts w:hint="eastAsia"/>
        </w:rPr>
        <w:t>反垄断法律制度</w:t>
      </w:r>
      <w:r>
        <w:rPr>
          <w:rStyle w:val="8"/>
          <w:rFonts w:hint="eastAsia"/>
          <w:lang w:val="en-US" w:eastAsia="zh-CN"/>
        </w:rPr>
        <w:t xml:space="preserve"> 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了解垄断行为和相关市场的界定方法</w:t>
      </w:r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了解滥用市场支配地位行为的</w:t>
      </w:r>
      <w:bookmarkStart w:id="22" w:name="_Hlk137374589"/>
      <w:r>
        <w:rPr>
          <w:rFonts w:hint="eastAsia" w:ascii="Times New Roman" w:hAnsi="Times New Roman"/>
          <w:sz w:val="24"/>
        </w:rPr>
        <w:t>构成要件与主要形式</w:t>
      </w:r>
      <w:bookmarkEnd w:id="22"/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了解垄断协议构成要件与主要形式</w:t>
      </w:r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了解经营者集中行为的申报、审查与决定的基本内容</w:t>
      </w:r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了解行政性垄断行为的概念、特征、表现方式</w:t>
      </w:r>
    </w:p>
    <w:p>
      <w:pPr>
        <w:numPr>
          <w:ilvl w:val="0"/>
          <w:numId w:val="15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sz w:val="24"/>
        </w:rPr>
        <w:t>了解反垄断执法体制的类型、执行的一般程序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垄断的含义、市场支配地位的认定、相关市场的理解和判断、滥用市场支配地位行为的法律特征、联合限制竞争行为的法律特征、行政性垄断行为的成因、反垄断路径中的结构主义与行为主义、反垄断法的本身违法原则和合理原则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合理原则；其他协同行为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left="840" w:leftChars="400" w:firstLine="480"/>
        <w:rPr>
          <w:rFonts w:hint="eastAsia" w:eastAsia="宋体"/>
          <w:b/>
          <w:bCs/>
          <w:lang w:eastAsia="zh-CN"/>
        </w:rPr>
      </w:pPr>
      <w:r>
        <w:rPr>
          <w:rStyle w:val="8"/>
          <w:rFonts w:hint="eastAsia"/>
          <w:b w:val="0"/>
          <w:bCs w:val="0"/>
        </w:rPr>
        <w:t xml:space="preserve">  </w:t>
      </w:r>
      <w:bookmarkStart w:id="23" w:name="_Hlk137375466"/>
      <w:r>
        <w:rPr>
          <w:rStyle w:val="8"/>
          <w:rFonts w:hint="eastAsia"/>
          <w:b w:val="0"/>
          <w:bCs w:val="0"/>
        </w:rPr>
        <w:t xml:space="preserve">                    </w:t>
      </w:r>
      <w:r>
        <w:rPr>
          <w:rStyle w:val="8"/>
          <w:b w:val="0"/>
          <w:bCs w:val="0"/>
        </w:rPr>
        <w:t xml:space="preserve">      </w:t>
      </w:r>
      <w:r>
        <w:rPr>
          <w:rStyle w:val="8"/>
          <w:rFonts w:hint="eastAsia"/>
          <w:b w:val="0"/>
          <w:bCs w:val="0"/>
        </w:rPr>
        <w:t xml:space="preserve">  </w:t>
      </w:r>
      <w:bookmarkEnd w:id="23"/>
      <w:r>
        <w:rPr>
          <w:rStyle w:val="8"/>
          <w:rFonts w:hint="eastAsia"/>
          <w:b w:val="0"/>
          <w:bCs w:val="0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  <w:rPr>
          <w:rFonts w:hint="eastAsia" w:eastAsia="宋体"/>
          <w:lang w:eastAsia="zh-CN"/>
        </w:rPr>
      </w:pPr>
      <w:r>
        <w:rPr>
          <w:rStyle w:val="8"/>
          <w:rFonts w:hint="eastAsia"/>
        </w:rPr>
        <w:t>第十四章</w:t>
      </w:r>
      <w:r>
        <w:rPr>
          <w:rStyle w:val="8"/>
          <w:rFonts w:cs="Calibri"/>
        </w:rPr>
        <w:t>  </w:t>
      </w:r>
      <w:r>
        <w:rPr>
          <w:rStyle w:val="8"/>
          <w:rFonts w:hint="eastAsia"/>
        </w:rPr>
        <w:t>反不正当竞争法律制度</w:t>
      </w:r>
      <w:r>
        <w:rPr>
          <w:rStyle w:val="8"/>
          <w:rFonts w:hint="eastAsia"/>
          <w:lang w:val="en-US" w:eastAsia="zh-CN"/>
        </w:rPr>
        <w:t xml:space="preserve"> 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6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sz w:val="24"/>
        </w:rPr>
        <w:t>了解</w:t>
      </w:r>
      <w:r>
        <w:rPr>
          <w:rFonts w:hint="eastAsia" w:ascii="Times New Roman" w:hAnsi="Times New Roman"/>
          <w:bCs/>
          <w:sz w:val="24"/>
        </w:rPr>
        <w:t>不正当竞争行为和反不正当竞争法的界定与定位</w:t>
      </w:r>
    </w:p>
    <w:p>
      <w:pPr>
        <w:numPr>
          <w:ilvl w:val="0"/>
          <w:numId w:val="16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了解市场混淆行为、侵犯商业秘密行为、诋毁商誉行为、商业贿赂行为和不当附奖赠促销行为、引人误解的虚假宣传行为、互联网不正当竞争行为的概念、特征、表现方式、构成要件与法律责任</w:t>
      </w:r>
    </w:p>
    <w:p>
      <w:pPr>
        <w:numPr>
          <w:ilvl w:val="0"/>
          <w:numId w:val="16"/>
        </w:numPr>
        <w:spacing w:line="300" w:lineRule="auto"/>
        <w:rPr>
          <w:rFonts w:ascii="Times New Roman" w:hAnsi="Times New Roman"/>
          <w:bCs/>
          <w:sz w:val="24"/>
        </w:rPr>
      </w:pPr>
      <w:r>
        <w:rPr>
          <w:rFonts w:hint="eastAsia" w:ascii="Times New Roman" w:hAnsi="Times New Roman"/>
          <w:bCs/>
          <w:sz w:val="24"/>
        </w:rPr>
        <w:t>了解反不正当竞争法的程序制度。</w:t>
      </w:r>
    </w:p>
    <w:p>
      <w:pPr>
        <w:spacing w:line="300" w:lineRule="auto"/>
        <w:ind w:left="86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不正当竞争行为的特征，市场混淆行为、侵犯商业秘密行为、诋毁商誉行为、</w:t>
      </w:r>
      <w:bookmarkStart w:id="24" w:name="_Hlk137375185"/>
      <w:r>
        <w:rPr>
          <w:rFonts w:hint="eastAsia" w:ascii="宋体" w:hAnsi="宋体"/>
          <w:bCs/>
          <w:sz w:val="24"/>
        </w:rPr>
        <w:t>商业贿赂行为</w:t>
      </w:r>
      <w:bookmarkEnd w:id="24"/>
      <w:r>
        <w:rPr>
          <w:rFonts w:hint="eastAsia" w:ascii="宋体" w:hAnsi="宋体"/>
          <w:bCs/>
          <w:sz w:val="24"/>
        </w:rPr>
        <w:t>和不当附奖赠促销行为的界定和行为表现概念、特征和表现方式以及反不正当竞争民事诉讼的特别规定。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商业贿赂行为的认定，抽奖式有奖销售与附赠式有奖销售行为的区别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left="840" w:leftChars="400" w:firstLine="480"/>
        <w:rPr>
          <w:rFonts w:hint="eastAsia" w:eastAsia="宋体"/>
          <w:b/>
          <w:bCs/>
          <w:lang w:eastAsia="zh-CN"/>
        </w:rPr>
      </w:pPr>
      <w:bookmarkStart w:id="25" w:name="_Hlk137381034"/>
      <w:r>
        <w:rPr>
          <w:rStyle w:val="8"/>
          <w:rFonts w:cs="Calibri"/>
          <w:b w:val="0"/>
          <w:bCs w:val="0"/>
        </w:rPr>
        <w:t xml:space="preserve">  </w:t>
      </w:r>
      <w:r>
        <w:rPr>
          <w:rStyle w:val="8"/>
          <w:rFonts w:hint="eastAsia" w:cs="Calibri"/>
          <w:b w:val="0"/>
          <w:bCs w:val="0"/>
        </w:rPr>
        <w:t xml:space="preserve">    </w:t>
      </w:r>
      <w:r>
        <w:rPr>
          <w:rStyle w:val="8"/>
          <w:rFonts w:cs="Calibri"/>
          <w:b w:val="0"/>
          <w:bCs w:val="0"/>
        </w:rPr>
        <w:t xml:space="preserve">    </w:t>
      </w:r>
      <w:r>
        <w:rPr>
          <w:rStyle w:val="8"/>
          <w:rFonts w:hint="eastAsia" w:cs="Calibri"/>
          <w:b w:val="0"/>
          <w:bCs w:val="0"/>
        </w:rPr>
        <w:t xml:space="preserve">         </w:t>
      </w:r>
      <w:bookmarkEnd w:id="25"/>
      <w:r>
        <w:rPr>
          <w:rStyle w:val="8"/>
          <w:rFonts w:hint="eastAsia" w:cs="Calibri"/>
          <w:b w:val="0"/>
          <w:bCs w:val="0"/>
          <w:lang w:val="en-US" w:eastAsia="zh-CN"/>
        </w:rPr>
        <w:t xml:space="preserve">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</w:rPr>
        <w:t>第十五章</w:t>
      </w:r>
      <w:r>
        <w:rPr>
          <w:rStyle w:val="8"/>
          <w:rFonts w:cs="Calibri"/>
        </w:rPr>
        <w:t>  </w:t>
      </w:r>
      <w:r>
        <w:rPr>
          <w:rStyle w:val="8"/>
          <w:rFonts w:hint="eastAsia"/>
        </w:rPr>
        <w:t>消费者保护法律制度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了解消费者权益保护法的性质、原则</w:t>
      </w:r>
    </w:p>
    <w:p>
      <w:pPr>
        <w:numPr>
          <w:ilvl w:val="0"/>
          <w:numId w:val="1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了解消费者和消费者权益保护法的概念</w:t>
      </w:r>
    </w:p>
    <w:p>
      <w:pPr>
        <w:numPr>
          <w:ilvl w:val="0"/>
          <w:numId w:val="1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掌握消费者权利和经营者义务的具体内容</w:t>
      </w:r>
    </w:p>
    <w:p>
      <w:pPr>
        <w:numPr>
          <w:ilvl w:val="0"/>
          <w:numId w:val="17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了解消费者权益争议的解决途径和相关主体的法律责任的基本内容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消费者权利的具体内容，各类主体保护消费者的义务，对消费者承担损害赔偿责任的主体的确定等。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消费者权利与保护公平竞争之间的关联性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5"/>
        <w:spacing w:before="0" w:beforeAutospacing="0" w:after="0" w:afterAutospacing="0" w:line="435" w:lineRule="atLeast"/>
        <w:ind w:left="840" w:leftChars="400" w:firstLine="480"/>
      </w:pPr>
      <w:r>
        <w:rPr>
          <w:rStyle w:val="8"/>
          <w:rFonts w:hint="eastAsia" w:cs="Calibri"/>
          <w:b w:val="0"/>
          <w:bCs w:val="0"/>
        </w:rPr>
        <w:t xml:space="preserve">                 </w:t>
      </w:r>
      <w:r>
        <w:rPr>
          <w:rStyle w:val="8"/>
          <w:rFonts w:cs="Calibri"/>
          <w:b w:val="0"/>
          <w:bCs w:val="0"/>
        </w:rPr>
        <w:t xml:space="preserve">      </w:t>
      </w:r>
      <w:r>
        <w:rPr>
          <w:rStyle w:val="8"/>
          <w:rFonts w:hint="eastAsia" w:cs="Calibri"/>
          <w:b w:val="0"/>
          <w:bCs w:val="0"/>
        </w:rPr>
        <w:t xml:space="preserve">     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Fonts w:cs="Calibri"/>
          <w:color w:val="000000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</w:rPr>
        <w:t>第十六章</w:t>
      </w:r>
      <w:r>
        <w:rPr>
          <w:rStyle w:val="8"/>
          <w:rFonts w:cs="Calibri"/>
        </w:rPr>
        <w:t>  </w:t>
      </w:r>
      <w:r>
        <w:rPr>
          <w:rStyle w:val="8"/>
          <w:rFonts w:hint="eastAsia"/>
        </w:rPr>
        <w:t>市场规制的其他制度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了解产品质量监管法律的定义、地位与产品质量监管主要法律制度</w:t>
      </w:r>
    </w:p>
    <w:p>
      <w:pPr>
        <w:numPr>
          <w:ilvl w:val="0"/>
          <w:numId w:val="1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了解价格监管法律制度的定义和功能以及价格监管的主要法律制度</w:t>
      </w:r>
    </w:p>
    <w:p>
      <w:pPr>
        <w:numPr>
          <w:ilvl w:val="0"/>
          <w:numId w:val="1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了解广告监管法律制度的定义和功能以及广告监管的主要法律制度</w:t>
      </w:r>
    </w:p>
    <w:p>
      <w:pPr>
        <w:numPr>
          <w:ilvl w:val="0"/>
          <w:numId w:val="18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了解计量监管法律制度的定义和功能以及计量监管的主要法律制度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产品质量监督体制、产品质量检验、价格监管体制、价格监督检查、广告监管体制、</w:t>
      </w:r>
      <w:bookmarkStart w:id="26" w:name="_Hlk137381530"/>
      <w:r>
        <w:rPr>
          <w:rFonts w:hint="eastAsia" w:ascii="宋体" w:hAnsi="宋体"/>
          <w:bCs/>
          <w:sz w:val="24"/>
        </w:rPr>
        <w:t>广告准则</w:t>
      </w:r>
      <w:bookmarkEnd w:id="26"/>
      <w:r>
        <w:rPr>
          <w:rFonts w:hint="eastAsia" w:ascii="宋体" w:hAnsi="宋体"/>
          <w:bCs/>
          <w:sz w:val="24"/>
        </w:rPr>
        <w:t>、广告审查、计量监管体制、量值传递机制。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广告准则、广告的特殊准则</w:t>
      </w:r>
    </w:p>
    <w:p>
      <w:pPr>
        <w:pStyle w:val="5"/>
        <w:spacing w:before="0" w:beforeAutospacing="0" w:after="0" w:afterAutospacing="0" w:line="435" w:lineRule="atLeast"/>
        <w:ind w:left="840" w:leftChars="400" w:firstLine="480"/>
        <w:rPr>
          <w:b/>
          <w:bCs/>
        </w:rPr>
      </w:pPr>
      <w:r>
        <w:rPr>
          <w:rStyle w:val="8"/>
          <w:rFonts w:hint="eastAsia"/>
          <w:b w:val="0"/>
          <w:bCs w:val="0"/>
        </w:rPr>
        <w:t xml:space="preserve">                 </w:t>
      </w:r>
      <w:r>
        <w:rPr>
          <w:rStyle w:val="8"/>
          <w:b w:val="0"/>
          <w:bCs w:val="0"/>
        </w:rPr>
        <w:t xml:space="preserve">     </w:t>
      </w:r>
      <w:r>
        <w:rPr>
          <w:rStyle w:val="8"/>
          <w:rFonts w:hint="eastAsia"/>
          <w:b w:val="0"/>
          <w:bCs w:val="0"/>
        </w:rPr>
        <w:t xml:space="preserve">  </w:t>
      </w:r>
    </w:p>
    <w:p>
      <w:pPr>
        <w:pStyle w:val="5"/>
        <w:spacing w:before="0" w:beforeAutospacing="0" w:after="0" w:afterAutospacing="0" w:line="435" w:lineRule="atLeast"/>
        <w:ind w:firstLine="480"/>
      </w:pPr>
      <w:r>
        <w:rPr>
          <w:rStyle w:val="8"/>
          <w:rFonts w:cs="Calibri"/>
        </w:rPr>
        <w:t> </w:t>
      </w:r>
    </w:p>
    <w:p>
      <w:pPr>
        <w:pStyle w:val="5"/>
        <w:spacing w:before="0" w:beforeAutospacing="0" w:after="0" w:afterAutospacing="0" w:line="435" w:lineRule="atLeast"/>
        <w:ind w:firstLine="480"/>
        <w:jc w:val="center"/>
      </w:pPr>
      <w:r>
        <w:rPr>
          <w:rStyle w:val="8"/>
          <w:rFonts w:hint="eastAsia"/>
        </w:rPr>
        <w:t>第十七章</w:t>
      </w:r>
      <w:r>
        <w:rPr>
          <w:rStyle w:val="8"/>
          <w:rFonts w:cs="Calibri"/>
        </w:rPr>
        <w:t>  </w:t>
      </w:r>
      <w:r>
        <w:rPr>
          <w:rStyle w:val="8"/>
          <w:rFonts w:hint="eastAsia"/>
        </w:rPr>
        <w:t>特别市场规制制度</w:t>
      </w: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r>
        <w:rPr>
          <w:rFonts w:hint="eastAsia" w:ascii="黑体" w:hAnsi="黑体" w:eastAsia="黑体"/>
          <w:bCs/>
          <w:sz w:val="24"/>
        </w:rPr>
        <w:t>内容：</w:t>
      </w:r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了解特别市场规制制度的基本原理</w:t>
      </w:r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了解货币</w:t>
      </w:r>
      <w:bookmarkStart w:id="27" w:name="_Hlk137382226"/>
      <w:r>
        <w:rPr>
          <w:rFonts w:hint="eastAsia" w:ascii="Times New Roman" w:hAnsi="Times New Roman"/>
          <w:sz w:val="24"/>
        </w:rPr>
        <w:t>市场</w:t>
      </w:r>
      <w:bookmarkStart w:id="28" w:name="_Hlk137382388"/>
      <w:r>
        <w:rPr>
          <w:rFonts w:hint="eastAsia" w:ascii="Times New Roman" w:hAnsi="Times New Roman"/>
          <w:sz w:val="24"/>
        </w:rPr>
        <w:t>规制制度的基本内容</w:t>
      </w:r>
      <w:bookmarkEnd w:id="27"/>
      <w:bookmarkEnd w:id="28"/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了解证券市场规制制度的基本内容</w:t>
      </w:r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了解保险市场规制制度的基本内容</w:t>
      </w:r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了解房地产市场规制制度的基本内容</w:t>
      </w:r>
    </w:p>
    <w:p>
      <w:pPr>
        <w:numPr>
          <w:ilvl w:val="0"/>
          <w:numId w:val="19"/>
        </w:numPr>
        <w:spacing w:line="30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了解能源市场规制制度的基本内容</w:t>
      </w:r>
    </w:p>
    <w:p>
      <w:pPr>
        <w:spacing w:line="300" w:lineRule="auto"/>
        <w:ind w:left="440"/>
        <w:rPr>
          <w:rFonts w:hint="eastAsia" w:ascii="Times New Roman" w:hAnsi="Times New Roman"/>
          <w:bCs/>
          <w:sz w:val="24"/>
        </w:rPr>
      </w:pPr>
    </w:p>
    <w:p>
      <w:pPr>
        <w:spacing w:line="300" w:lineRule="auto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  <w:lang w:val="en-US" w:eastAsia="zh-CN"/>
        </w:rPr>
        <w:t>课程</w:t>
      </w:r>
      <w:bookmarkStart w:id="29" w:name="_GoBack"/>
      <w:bookmarkEnd w:id="29"/>
      <w:r>
        <w:rPr>
          <w:rFonts w:hint="eastAsia" w:ascii="黑体" w:hAnsi="黑体" w:eastAsia="黑体"/>
          <w:bCs/>
          <w:sz w:val="24"/>
        </w:rPr>
        <w:t>重点与难点：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1、重点：</w:t>
      </w:r>
    </w:p>
    <w:p>
      <w:pPr>
        <w:spacing w:line="30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特别市场规制制度的价值，特别市场规制法律制度与一般市场规制法律制度的关系，认定特别市场的依据，货币、证券、保险、房地产、能源等特别市场的主要特点以及主要的规制制度。</w:t>
      </w:r>
    </w:p>
    <w:p>
      <w:pPr>
        <w:spacing w:line="300" w:lineRule="auto"/>
        <w:ind w:left="420" w:leftChars="200"/>
        <w:rPr>
          <w:rFonts w:ascii="黑体" w:hAnsi="黑体" w:eastAsia="黑体"/>
          <w:bCs/>
          <w:sz w:val="24"/>
        </w:rPr>
      </w:pPr>
      <w:r>
        <w:rPr>
          <w:rFonts w:hint="eastAsia" w:ascii="黑体" w:hAnsi="黑体" w:eastAsia="黑体"/>
          <w:bCs/>
          <w:sz w:val="24"/>
        </w:rPr>
        <w:t>2、难点：</w:t>
      </w:r>
    </w:p>
    <w:p>
      <w:pPr>
        <w:spacing w:line="300" w:lineRule="auto"/>
        <w:ind w:left="420" w:leftChars="200"/>
        <w:rPr>
          <w:rFonts w:ascii="Times New Roman" w:hAnsi="宋体"/>
          <w:sz w:val="24"/>
        </w:rPr>
      </w:pPr>
      <w:r>
        <w:rPr>
          <w:rFonts w:hint="eastAsia" w:ascii="Times New Roman" w:hAnsi="宋体"/>
          <w:sz w:val="24"/>
        </w:rPr>
        <w:t>证券规制制度的基本内容、保险规制制度的基本内容</w:t>
      </w:r>
    </w:p>
    <w:p>
      <w:pPr>
        <w:spacing w:line="300" w:lineRule="auto"/>
        <w:ind w:left="420" w:leftChars="200"/>
        <w:rPr>
          <w:rFonts w:hint="eastAsia" w:ascii="Times New Roman" w:hAnsi="宋体"/>
          <w:sz w:val="24"/>
        </w:rPr>
      </w:pPr>
    </w:p>
    <w:p>
      <w:pPr>
        <w:pStyle w:val="4"/>
        <w:spacing w:line="300" w:lineRule="auto"/>
        <w:rPr>
          <w:rFonts w:ascii="Times New Roman" w:hAnsi="宋体"/>
        </w:rPr>
      </w:pPr>
      <w:r>
        <w:rPr>
          <w:rFonts w:ascii="Times New Roman" w:hAnsi="宋体"/>
        </w:rPr>
        <w:tab/>
      </w:r>
    </w:p>
    <w:p>
      <w:pPr>
        <w:pStyle w:val="4"/>
        <w:numPr>
          <w:ilvl w:val="0"/>
          <w:numId w:val="20"/>
        </w:numPr>
        <w:spacing w:line="300" w:lineRule="auto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参考资源</w:t>
      </w:r>
    </w:p>
    <w:p>
      <w:pPr>
        <w:pStyle w:val="4"/>
        <w:numPr>
          <w:ilvl w:val="0"/>
          <w:numId w:val="21"/>
        </w:numPr>
        <w:spacing w:line="360" w:lineRule="auto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王先林主编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经济法案例百选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[M]. 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高等教育出版社2020年版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史际春主编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经济法（第三版）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中国人民大学出版社2015年版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宋彪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经济法翻转课堂教学方法与实践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中国人民大学出版社2015年版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杨紫烜主编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经济法（第五版）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北京大学出版社高等教育出版社2014年版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漆多俊、冯果主编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经济法学（第三版）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武汉大学出版社2011年版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张守文主编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经济法学（第六版）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北京大学出版社2014年版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ilvl w:val="0"/>
          <w:numId w:val="21"/>
        </w:numPr>
        <w:spacing w:line="36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王晓晔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反垄断法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法律出版社2011年版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>
      <w:pPr>
        <w:pStyle w:val="4"/>
        <w:numPr>
          <w:numId w:val="0"/>
        </w:numPr>
        <w:spacing w:line="360" w:lineRule="auto"/>
        <w:ind w:leftChars="0"/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[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]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张守文：经济法原理（第二版）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[M].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</w:rPr>
        <w:t>北京大学出版社2020年版</w:t>
      </w:r>
      <w:r>
        <w:rPr>
          <w:rFonts w:hint="eastAsia" w:asciiTheme="minorEastAsia" w:hAnsiTheme="minorEastAsia" w:eastAsiaTheme="minorEastAsia" w:cstheme="minorEastAsia"/>
          <w:b w:val="0"/>
          <w:sz w:val="21"/>
          <w:szCs w:val="21"/>
          <w:lang w:val="en-US" w:eastAsia="zh-CN"/>
        </w:rPr>
        <w:t>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874918"/>
    <w:multiLevelType w:val="singleLevel"/>
    <w:tmpl w:val="89874918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F91F5C"/>
    <w:multiLevelType w:val="singleLevel"/>
    <w:tmpl w:val="00F91F5C"/>
    <w:lvl w:ilvl="0" w:tentative="0">
      <w:start w:val="1"/>
      <w:numFmt w:val="decimal"/>
      <w:lvlText w:val="[%1]"/>
      <w:lvlJc w:val="left"/>
      <w:pPr>
        <w:tabs>
          <w:tab w:val="left" w:pos="312"/>
        </w:tabs>
      </w:pPr>
    </w:lvl>
  </w:abstractNum>
  <w:abstractNum w:abstractNumId="2">
    <w:nsid w:val="01E611FF"/>
    <w:multiLevelType w:val="multilevel"/>
    <w:tmpl w:val="01E611FF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3">
    <w:nsid w:val="01E72B8B"/>
    <w:multiLevelType w:val="multilevel"/>
    <w:tmpl w:val="01E72B8B"/>
    <w:lvl w:ilvl="0" w:tentative="0">
      <w:start w:val="1"/>
      <w:numFmt w:val="decimal"/>
      <w:lvlText w:val="%1."/>
      <w:lvlJc w:val="left"/>
      <w:pPr>
        <w:ind w:left="922" w:hanging="440"/>
      </w:pPr>
    </w:lvl>
    <w:lvl w:ilvl="1" w:tentative="0">
      <w:start w:val="1"/>
      <w:numFmt w:val="lowerLetter"/>
      <w:lvlText w:val="%2)"/>
      <w:lvlJc w:val="left"/>
      <w:pPr>
        <w:ind w:left="1362" w:hanging="440"/>
      </w:pPr>
    </w:lvl>
    <w:lvl w:ilvl="2" w:tentative="0">
      <w:start w:val="1"/>
      <w:numFmt w:val="lowerRoman"/>
      <w:lvlText w:val="%3."/>
      <w:lvlJc w:val="right"/>
      <w:pPr>
        <w:ind w:left="1802" w:hanging="440"/>
      </w:pPr>
    </w:lvl>
    <w:lvl w:ilvl="3" w:tentative="0">
      <w:start w:val="1"/>
      <w:numFmt w:val="decimal"/>
      <w:lvlText w:val="%4."/>
      <w:lvlJc w:val="left"/>
      <w:pPr>
        <w:ind w:left="2242" w:hanging="440"/>
      </w:pPr>
    </w:lvl>
    <w:lvl w:ilvl="4" w:tentative="0">
      <w:start w:val="1"/>
      <w:numFmt w:val="lowerLetter"/>
      <w:lvlText w:val="%5)"/>
      <w:lvlJc w:val="left"/>
      <w:pPr>
        <w:ind w:left="2682" w:hanging="440"/>
      </w:pPr>
    </w:lvl>
    <w:lvl w:ilvl="5" w:tentative="0">
      <w:start w:val="1"/>
      <w:numFmt w:val="lowerRoman"/>
      <w:lvlText w:val="%6."/>
      <w:lvlJc w:val="right"/>
      <w:pPr>
        <w:ind w:left="3122" w:hanging="440"/>
      </w:pPr>
    </w:lvl>
    <w:lvl w:ilvl="6" w:tentative="0">
      <w:start w:val="1"/>
      <w:numFmt w:val="decimal"/>
      <w:lvlText w:val="%7."/>
      <w:lvlJc w:val="left"/>
      <w:pPr>
        <w:ind w:left="3562" w:hanging="440"/>
      </w:pPr>
    </w:lvl>
    <w:lvl w:ilvl="7" w:tentative="0">
      <w:start w:val="1"/>
      <w:numFmt w:val="lowerLetter"/>
      <w:lvlText w:val="%8)"/>
      <w:lvlJc w:val="left"/>
      <w:pPr>
        <w:ind w:left="4002" w:hanging="440"/>
      </w:pPr>
    </w:lvl>
    <w:lvl w:ilvl="8" w:tentative="0">
      <w:start w:val="1"/>
      <w:numFmt w:val="lowerRoman"/>
      <w:lvlText w:val="%9."/>
      <w:lvlJc w:val="right"/>
      <w:pPr>
        <w:ind w:left="4442" w:hanging="440"/>
      </w:pPr>
    </w:lvl>
  </w:abstractNum>
  <w:abstractNum w:abstractNumId="4">
    <w:nsid w:val="1AFF6342"/>
    <w:multiLevelType w:val="multilevel"/>
    <w:tmpl w:val="1AFF6342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5">
    <w:nsid w:val="32622A12"/>
    <w:multiLevelType w:val="multilevel"/>
    <w:tmpl w:val="32622A12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6">
    <w:nsid w:val="3F1E1566"/>
    <w:multiLevelType w:val="multilevel"/>
    <w:tmpl w:val="3F1E1566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7">
    <w:nsid w:val="422F3DED"/>
    <w:multiLevelType w:val="multilevel"/>
    <w:tmpl w:val="422F3DED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8">
    <w:nsid w:val="4B2502D3"/>
    <w:multiLevelType w:val="multilevel"/>
    <w:tmpl w:val="4B2502D3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9">
    <w:nsid w:val="5313401B"/>
    <w:multiLevelType w:val="multilevel"/>
    <w:tmpl w:val="5313401B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0">
    <w:nsid w:val="54980880"/>
    <w:multiLevelType w:val="multilevel"/>
    <w:tmpl w:val="54980880"/>
    <w:lvl w:ilvl="0" w:tentative="0">
      <w:start w:val="1"/>
      <w:numFmt w:val="decimal"/>
      <w:lvlText w:val="%1."/>
      <w:lvlJc w:val="left"/>
      <w:pPr>
        <w:ind w:left="862" w:hanging="440"/>
      </w:pPr>
    </w:lvl>
    <w:lvl w:ilvl="1" w:tentative="0">
      <w:start w:val="1"/>
      <w:numFmt w:val="lowerLetter"/>
      <w:lvlText w:val="%2)"/>
      <w:lvlJc w:val="left"/>
      <w:pPr>
        <w:ind w:left="1302" w:hanging="440"/>
      </w:pPr>
    </w:lvl>
    <w:lvl w:ilvl="2" w:tentative="0">
      <w:start w:val="1"/>
      <w:numFmt w:val="lowerRoman"/>
      <w:lvlText w:val="%3."/>
      <w:lvlJc w:val="right"/>
      <w:pPr>
        <w:ind w:left="1742" w:hanging="440"/>
      </w:pPr>
    </w:lvl>
    <w:lvl w:ilvl="3" w:tentative="0">
      <w:start w:val="1"/>
      <w:numFmt w:val="decimal"/>
      <w:lvlText w:val="%4."/>
      <w:lvlJc w:val="left"/>
      <w:pPr>
        <w:ind w:left="2182" w:hanging="440"/>
      </w:pPr>
    </w:lvl>
    <w:lvl w:ilvl="4" w:tentative="0">
      <w:start w:val="1"/>
      <w:numFmt w:val="lowerLetter"/>
      <w:lvlText w:val="%5)"/>
      <w:lvlJc w:val="left"/>
      <w:pPr>
        <w:ind w:left="2622" w:hanging="440"/>
      </w:pPr>
    </w:lvl>
    <w:lvl w:ilvl="5" w:tentative="0">
      <w:start w:val="1"/>
      <w:numFmt w:val="lowerRoman"/>
      <w:lvlText w:val="%6."/>
      <w:lvlJc w:val="right"/>
      <w:pPr>
        <w:ind w:left="3062" w:hanging="440"/>
      </w:pPr>
    </w:lvl>
    <w:lvl w:ilvl="6" w:tentative="0">
      <w:start w:val="1"/>
      <w:numFmt w:val="decimal"/>
      <w:lvlText w:val="%7."/>
      <w:lvlJc w:val="left"/>
      <w:pPr>
        <w:ind w:left="3502" w:hanging="440"/>
      </w:pPr>
    </w:lvl>
    <w:lvl w:ilvl="7" w:tentative="0">
      <w:start w:val="1"/>
      <w:numFmt w:val="lowerLetter"/>
      <w:lvlText w:val="%8)"/>
      <w:lvlJc w:val="left"/>
      <w:pPr>
        <w:ind w:left="3942" w:hanging="440"/>
      </w:pPr>
    </w:lvl>
    <w:lvl w:ilvl="8" w:tentative="0">
      <w:start w:val="1"/>
      <w:numFmt w:val="lowerRoman"/>
      <w:lvlText w:val="%9."/>
      <w:lvlJc w:val="right"/>
      <w:pPr>
        <w:ind w:left="4382" w:hanging="440"/>
      </w:pPr>
    </w:lvl>
  </w:abstractNum>
  <w:abstractNum w:abstractNumId="11">
    <w:nsid w:val="59876698"/>
    <w:multiLevelType w:val="multilevel"/>
    <w:tmpl w:val="59876698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2">
    <w:nsid w:val="5F08056A"/>
    <w:multiLevelType w:val="multilevel"/>
    <w:tmpl w:val="5F08056A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3">
    <w:nsid w:val="5F5F155E"/>
    <w:multiLevelType w:val="multilevel"/>
    <w:tmpl w:val="5F5F155E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4">
    <w:nsid w:val="612A5212"/>
    <w:multiLevelType w:val="multilevel"/>
    <w:tmpl w:val="612A5212"/>
    <w:lvl w:ilvl="0" w:tentative="0">
      <w:start w:val="1"/>
      <w:numFmt w:val="decimal"/>
      <w:lvlText w:val="%1、"/>
      <w:lvlJc w:val="left"/>
      <w:pPr>
        <w:ind w:left="782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15">
    <w:nsid w:val="63C0003F"/>
    <w:multiLevelType w:val="multilevel"/>
    <w:tmpl w:val="63C0003F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6">
    <w:nsid w:val="6FF55FB2"/>
    <w:multiLevelType w:val="multilevel"/>
    <w:tmpl w:val="6FF55FB2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7">
    <w:nsid w:val="6FFC6083"/>
    <w:multiLevelType w:val="multilevel"/>
    <w:tmpl w:val="6FFC6083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8">
    <w:nsid w:val="71825BFA"/>
    <w:multiLevelType w:val="multilevel"/>
    <w:tmpl w:val="71825BFA"/>
    <w:lvl w:ilvl="0" w:tentative="0">
      <w:start w:val="1"/>
      <w:numFmt w:val="decimal"/>
      <w:lvlText w:val="%1、"/>
      <w:lvlJc w:val="left"/>
      <w:pPr>
        <w:ind w:left="782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62" w:hanging="420"/>
      </w:pPr>
    </w:lvl>
    <w:lvl w:ilvl="2" w:tentative="0">
      <w:start w:val="1"/>
      <w:numFmt w:val="lowerRoman"/>
      <w:lvlText w:val="%3."/>
      <w:lvlJc w:val="right"/>
      <w:pPr>
        <w:ind w:left="1682" w:hanging="420"/>
      </w:pPr>
    </w:lvl>
    <w:lvl w:ilvl="3" w:tentative="0">
      <w:start w:val="1"/>
      <w:numFmt w:val="decimal"/>
      <w:lvlText w:val="%4."/>
      <w:lvlJc w:val="left"/>
      <w:pPr>
        <w:ind w:left="2102" w:hanging="420"/>
      </w:pPr>
    </w:lvl>
    <w:lvl w:ilvl="4" w:tentative="0">
      <w:start w:val="1"/>
      <w:numFmt w:val="lowerLetter"/>
      <w:lvlText w:val="%5)"/>
      <w:lvlJc w:val="left"/>
      <w:pPr>
        <w:ind w:left="2522" w:hanging="420"/>
      </w:pPr>
    </w:lvl>
    <w:lvl w:ilvl="5" w:tentative="0">
      <w:start w:val="1"/>
      <w:numFmt w:val="lowerRoman"/>
      <w:lvlText w:val="%6."/>
      <w:lvlJc w:val="right"/>
      <w:pPr>
        <w:ind w:left="2942" w:hanging="420"/>
      </w:pPr>
    </w:lvl>
    <w:lvl w:ilvl="6" w:tentative="0">
      <w:start w:val="1"/>
      <w:numFmt w:val="decimal"/>
      <w:lvlText w:val="%7."/>
      <w:lvlJc w:val="left"/>
      <w:pPr>
        <w:ind w:left="3362" w:hanging="420"/>
      </w:pPr>
    </w:lvl>
    <w:lvl w:ilvl="7" w:tentative="0">
      <w:start w:val="1"/>
      <w:numFmt w:val="lowerLetter"/>
      <w:lvlText w:val="%8)"/>
      <w:lvlJc w:val="left"/>
      <w:pPr>
        <w:ind w:left="3782" w:hanging="420"/>
      </w:pPr>
    </w:lvl>
    <w:lvl w:ilvl="8" w:tentative="0">
      <w:start w:val="1"/>
      <w:numFmt w:val="lowerRoman"/>
      <w:lvlText w:val="%9."/>
      <w:lvlJc w:val="right"/>
      <w:pPr>
        <w:ind w:left="4202" w:hanging="420"/>
      </w:pPr>
    </w:lvl>
  </w:abstractNum>
  <w:abstractNum w:abstractNumId="19">
    <w:nsid w:val="73A147A6"/>
    <w:multiLevelType w:val="multilevel"/>
    <w:tmpl w:val="73A147A6"/>
    <w:lvl w:ilvl="0" w:tentative="0">
      <w:start w:val="1"/>
      <w:numFmt w:val="decimal"/>
      <w:lvlText w:val="%1."/>
      <w:lvlJc w:val="left"/>
      <w:rPr>
        <w:color w:val="auto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20">
    <w:nsid w:val="7F0130AD"/>
    <w:multiLevelType w:val="multilevel"/>
    <w:tmpl w:val="7F0130AD"/>
    <w:lvl w:ilvl="0" w:tentative="0">
      <w:start w:val="1"/>
      <w:numFmt w:val="decimal"/>
      <w:lvlText w:val="%1."/>
      <w:lvlJc w:val="left"/>
      <w:pPr>
        <w:ind w:left="860" w:hanging="440"/>
      </w:p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10"/>
  </w:num>
  <w:num w:numId="5">
    <w:abstractNumId w:val="6"/>
  </w:num>
  <w:num w:numId="6">
    <w:abstractNumId w:val="9"/>
  </w:num>
  <w:num w:numId="7">
    <w:abstractNumId w:val="5"/>
  </w:num>
  <w:num w:numId="8">
    <w:abstractNumId w:val="7"/>
  </w:num>
  <w:num w:numId="9">
    <w:abstractNumId w:val="2"/>
  </w:num>
  <w:num w:numId="10">
    <w:abstractNumId w:val="17"/>
  </w:num>
  <w:num w:numId="11">
    <w:abstractNumId w:val="16"/>
  </w:num>
  <w:num w:numId="12">
    <w:abstractNumId w:val="3"/>
  </w:num>
  <w:num w:numId="13">
    <w:abstractNumId w:val="8"/>
  </w:num>
  <w:num w:numId="14">
    <w:abstractNumId w:val="11"/>
  </w:num>
  <w:num w:numId="15">
    <w:abstractNumId w:val="13"/>
  </w:num>
  <w:num w:numId="16">
    <w:abstractNumId w:val="4"/>
  </w:num>
  <w:num w:numId="17">
    <w:abstractNumId w:val="15"/>
  </w:num>
  <w:num w:numId="18">
    <w:abstractNumId w:val="12"/>
  </w:num>
  <w:num w:numId="19">
    <w:abstractNumId w:val="20"/>
  </w:num>
  <w:num w:numId="20">
    <w:abstractNumId w:val="0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RkN2Y2NTA1ZGM1YjdiYzdlM2FiNWVhYjEzM2Y4OTQifQ=="/>
  </w:docVars>
  <w:rsids>
    <w:rsidRoot w:val="00000000"/>
    <w:rsid w:val="04324F7D"/>
    <w:rsid w:val="0B4F6692"/>
    <w:rsid w:val="1C6C052F"/>
    <w:rsid w:val="30AC28B9"/>
    <w:rsid w:val="31CB4A23"/>
    <w:rsid w:val="3448766E"/>
    <w:rsid w:val="40CB28E7"/>
    <w:rsid w:val="47437C2E"/>
    <w:rsid w:val="49B54A20"/>
    <w:rsid w:val="4D204379"/>
    <w:rsid w:val="4E0F7AAC"/>
    <w:rsid w:val="5AF15E57"/>
    <w:rsid w:val="5B4D2EE9"/>
    <w:rsid w:val="5C3A61AB"/>
    <w:rsid w:val="63320B65"/>
    <w:rsid w:val="704E28F4"/>
    <w:rsid w:val="741E03FC"/>
    <w:rsid w:val="7AD0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/>
      <w:jc w:val="center"/>
      <w:outlineLvl w:val="0"/>
    </w:pPr>
    <w:rPr>
      <w:rFonts w:ascii="黑体" w:eastAsia="黑体"/>
      <w:bCs/>
      <w:kern w:val="44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黑体" w:hAnsi="Arial" w:eastAsia="黑体"/>
      <w:sz w:val="30"/>
      <w:szCs w:val="3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szCs w:val="21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样式(附录文字)"/>
    <w:basedOn w:val="1"/>
    <w:qFormat/>
    <w:uiPriority w:val="0"/>
    <w:pPr>
      <w:autoSpaceDE w:val="0"/>
      <w:autoSpaceDN w:val="0"/>
      <w:adjustRightInd w:val="0"/>
      <w:spacing w:line="300" w:lineRule="auto"/>
      <w:ind w:firstLine="420" w:firstLineChars="200"/>
    </w:pPr>
    <w:rPr>
      <w:bCs/>
      <w:color w:val="00B0F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1404</Words>
  <Characters>1492</Characters>
  <Lines>0</Lines>
  <Paragraphs>0</Paragraphs>
  <TotalTime>0</TotalTime>
  <ScaleCrop>false</ScaleCrop>
  <LinksUpToDate>false</LinksUpToDate>
  <CharactersWithSpaces>1667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2023-10-31T02:21:00Z</dcterms:created>
  <dc:creator>Administrator</dc:creator>
  <cp:lastModifiedBy>bm</cp:lastModifiedBy>
  <dcterms:modified xsi:type="dcterms:W3CDTF">2023-11-12T08:22:05Z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FAA4B6C228454A089555531832595E3B</vt:lpwstr>
  </property>
</Properties>
</file>