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b/>
          <w:color w:val="000000"/>
          <w:sz w:val="36"/>
          <w:szCs w:val="36"/>
        </w:rPr>
      </w:pPr>
      <w:r>
        <w:rPr>
          <w:rFonts w:hint="eastAsia"/>
          <w:b/>
          <w:color w:val="000000"/>
          <w:sz w:val="36"/>
          <w:szCs w:val="36"/>
        </w:rPr>
        <w:t>高等教育自学考试课程考试大纲</w:t>
      </w:r>
    </w:p>
    <w:p>
      <w:pPr>
        <w:spacing w:line="360" w:lineRule="auto"/>
        <w:rPr>
          <w:b/>
          <w:color w:val="000000"/>
          <w:szCs w:val="21"/>
        </w:rPr>
      </w:pPr>
      <w:r>
        <w:rPr>
          <w:rFonts w:hint="eastAsia"/>
          <w:b/>
          <w:color w:val="000000"/>
          <w:szCs w:val="21"/>
        </w:rPr>
        <w:t>课程名称：高级俄语（Ⅱ）          课程代码：</w:t>
      </w:r>
      <w:r>
        <w:rPr>
          <w:rFonts w:hint="eastAsia"/>
          <w:b/>
          <w:color w:val="000000"/>
          <w:szCs w:val="21"/>
          <w:lang w:val="en-US" w:eastAsia="zh-CN"/>
        </w:rPr>
        <w:t>00618</w:t>
      </w:r>
      <w:bookmarkStart w:id="1" w:name="_GoBack"/>
      <w:bookmarkEnd w:id="1"/>
      <w:r>
        <w:rPr>
          <w:rFonts w:hint="eastAsia"/>
          <w:b/>
          <w:color w:val="000000"/>
          <w:szCs w:val="21"/>
        </w:rPr>
        <w:t xml:space="preserve">   </w:t>
      </w:r>
      <w:r>
        <w:rPr>
          <w:b/>
          <w:color w:val="000000"/>
          <w:szCs w:val="21"/>
        </w:rPr>
        <w:t xml:space="preserve">       </w:t>
      </w:r>
      <w:r>
        <w:rPr>
          <w:rFonts w:hint="eastAsia"/>
          <w:b/>
          <w:color w:val="000000"/>
          <w:szCs w:val="21"/>
        </w:rPr>
        <w:t>20</w:t>
      </w:r>
      <w:r>
        <w:rPr>
          <w:b/>
          <w:color w:val="000000"/>
          <w:szCs w:val="21"/>
        </w:rPr>
        <w:t>23</w:t>
      </w:r>
      <w:r>
        <w:rPr>
          <w:rFonts w:hint="eastAsia"/>
          <w:b/>
          <w:color w:val="000000"/>
          <w:szCs w:val="21"/>
        </w:rPr>
        <w:t>年</w:t>
      </w:r>
      <w:r>
        <w:rPr>
          <w:b/>
          <w:color w:val="000000"/>
          <w:szCs w:val="21"/>
        </w:rPr>
        <w:t>11</w:t>
      </w:r>
      <w:r>
        <w:rPr>
          <w:rFonts w:hint="eastAsia"/>
          <w:b/>
          <w:color w:val="000000"/>
          <w:szCs w:val="21"/>
        </w:rPr>
        <w:t>月版</w:t>
      </w:r>
    </w:p>
    <w:p>
      <w:pPr>
        <w:spacing w:line="360" w:lineRule="auto"/>
        <w:jc w:val="center"/>
        <w:rPr>
          <w:bCs/>
          <w:szCs w:val="21"/>
        </w:rPr>
      </w:pP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第一部分     课程性质与设置目的</w:t>
      </w:r>
    </w:p>
    <w:p>
      <w:pPr>
        <w:widowControl/>
        <w:spacing w:line="360" w:lineRule="auto"/>
        <w:jc w:val="left"/>
        <w:rPr>
          <w:rFonts w:hint="eastAsia" w:ascii="ˎ̥" w:hAnsi="ˎ̥" w:eastAsia="宋体" w:cs="宋体"/>
          <w:color w:val="000000"/>
          <w:kern w:val="0"/>
          <w:szCs w:val="21"/>
        </w:rPr>
      </w:pPr>
      <w:r>
        <w:rPr>
          <w:rFonts w:hint="eastAsia" w:ascii="ˎ̥" w:hAnsi="ˎ̥" w:eastAsia="宋体" w:cs="宋体"/>
          <w:b/>
          <w:bCs/>
          <w:color w:val="000000"/>
          <w:kern w:val="0"/>
          <w:szCs w:val="21"/>
        </w:rPr>
        <w:t>一</w:t>
      </w:r>
      <w:r>
        <w:rPr>
          <w:rFonts w:ascii="ˎ̥" w:hAnsi="ˎ̥" w:eastAsia="宋体" w:cs="宋体"/>
          <w:b/>
          <w:bCs/>
          <w:color w:val="000000"/>
          <w:kern w:val="0"/>
          <w:szCs w:val="21"/>
        </w:rPr>
        <w:t>、</w:t>
      </w:r>
      <w:r>
        <w:rPr>
          <w:rFonts w:hint="eastAsia" w:ascii="ˎ̥" w:hAnsi="ˎ̥" w:eastAsia="宋体" w:cs="宋体"/>
          <w:b/>
          <w:bCs/>
          <w:color w:val="000000"/>
          <w:kern w:val="0"/>
          <w:szCs w:val="21"/>
        </w:rPr>
        <w:t>课程性质与</w:t>
      </w:r>
      <w:r>
        <w:rPr>
          <w:rFonts w:ascii="ˎ̥" w:hAnsi="ˎ̥" w:eastAsia="宋体" w:cs="宋体"/>
          <w:b/>
          <w:bCs/>
          <w:color w:val="000000"/>
          <w:kern w:val="0"/>
          <w:szCs w:val="21"/>
        </w:rPr>
        <w:t>特</w:t>
      </w:r>
      <w:r>
        <w:rPr>
          <w:rFonts w:hint="eastAsia" w:ascii="ˎ̥" w:hAnsi="ˎ̥" w:eastAsia="宋体" w:cs="宋体"/>
          <w:b/>
          <w:bCs/>
          <w:color w:val="000000"/>
          <w:kern w:val="0"/>
          <w:szCs w:val="21"/>
        </w:rPr>
        <w:t>点</w:t>
      </w:r>
    </w:p>
    <w:p>
      <w:pPr>
        <w:spacing w:line="360" w:lineRule="auto"/>
        <w:ind w:firstLine="420" w:firstLineChars="200"/>
        <w:rPr>
          <w:rFonts w:hint="eastAsia"/>
          <w:bCs/>
          <w:szCs w:val="21"/>
        </w:rPr>
      </w:pPr>
      <w:r>
        <w:rPr>
          <w:rFonts w:hint="eastAsia"/>
          <w:bCs/>
          <w:szCs w:val="21"/>
        </w:rPr>
        <w:t>《高级俄语（Ⅱ）》课程是中国高等学校俄语专业所开设的一门课程，该课程具有很强的实践性</w:t>
      </w:r>
      <w:r>
        <w:rPr>
          <w:rFonts w:hint="eastAsia"/>
          <w:bCs/>
          <w:szCs w:val="21"/>
          <w:lang w:val="en-US" w:eastAsia="zh-CN"/>
        </w:rPr>
        <w:t>，</w:t>
      </w:r>
      <w:r>
        <w:rPr>
          <w:rFonts w:hint="eastAsia"/>
          <w:bCs/>
          <w:szCs w:val="21"/>
        </w:rPr>
        <w:t>全面培养学生口、笔语的交际能力，使学生掌握俄语听、说、读、写、译的言语交际技能。本课程根据言语交际性原则组织教学，以学生为</w:t>
      </w:r>
      <w:r>
        <w:rPr>
          <w:rFonts w:hint="eastAsia"/>
          <w:bCs/>
          <w:szCs w:val="21"/>
          <w:lang w:val="en-US" w:eastAsia="zh-CN"/>
        </w:rPr>
        <w:t>中心</w:t>
      </w:r>
      <w:r>
        <w:rPr>
          <w:rFonts w:hint="eastAsia"/>
          <w:bCs/>
          <w:szCs w:val="21"/>
        </w:rPr>
        <w:t>，在交际情景中进行言语训练，将讲授的语</w:t>
      </w:r>
      <w:r>
        <w:rPr>
          <w:rFonts w:hint="eastAsia"/>
          <w:bCs/>
          <w:szCs w:val="21"/>
          <w:lang w:val="en-US" w:eastAsia="zh-CN"/>
        </w:rPr>
        <w:t>言</w:t>
      </w:r>
      <w:r>
        <w:rPr>
          <w:rFonts w:hint="eastAsia"/>
          <w:bCs/>
          <w:szCs w:val="21"/>
        </w:rPr>
        <w:t>知识通过大量的实践操练转化为言语技能和熟巧。本课程旨在培养学生在日常生活及一般社会文化生活范围内运用俄语进行交际的能力，同时将语言文化和言语礼节知识渗透到教学过程中，</w:t>
      </w:r>
      <w:r>
        <w:rPr>
          <w:rFonts w:hint="eastAsia"/>
          <w:bCs/>
          <w:szCs w:val="21"/>
          <w:lang w:val="en-US" w:eastAsia="zh-CN"/>
        </w:rPr>
        <w:t>使</w:t>
      </w:r>
      <w:r>
        <w:rPr>
          <w:rFonts w:hint="eastAsia"/>
          <w:bCs/>
          <w:szCs w:val="21"/>
        </w:rPr>
        <w:t>学生</w:t>
      </w:r>
      <w:r>
        <w:rPr>
          <w:rFonts w:hint="eastAsia"/>
          <w:bCs/>
          <w:szCs w:val="21"/>
          <w:lang w:val="en-US" w:eastAsia="zh-CN"/>
        </w:rPr>
        <w:t>能够</w:t>
      </w:r>
      <w:r>
        <w:rPr>
          <w:rFonts w:hint="eastAsia"/>
          <w:bCs/>
          <w:szCs w:val="21"/>
        </w:rPr>
        <w:t>娴熟自如地掌握</w:t>
      </w:r>
      <w:r>
        <w:rPr>
          <w:rFonts w:hint="eastAsia"/>
          <w:bCs/>
          <w:szCs w:val="21"/>
          <w:lang w:val="en-US" w:eastAsia="zh-CN"/>
        </w:rPr>
        <w:t>俄语</w:t>
      </w:r>
      <w:r>
        <w:rPr>
          <w:rFonts w:hint="eastAsia"/>
          <w:bCs/>
          <w:szCs w:val="21"/>
        </w:rPr>
        <w:t>。</w:t>
      </w:r>
    </w:p>
    <w:p>
      <w:pPr>
        <w:spacing w:line="360" w:lineRule="auto"/>
        <w:rPr>
          <w:rFonts w:ascii="宋体" w:hAnsi="宋体"/>
          <w:szCs w:val="24"/>
        </w:rPr>
      </w:pPr>
      <w:r>
        <w:rPr>
          <w:rFonts w:hint="eastAsia" w:ascii="宋体" w:hAnsi="宋体"/>
          <w:b/>
        </w:rPr>
        <w:t>二、课程目标与基本要求</w:t>
      </w:r>
    </w:p>
    <w:p>
      <w:pPr>
        <w:spacing w:line="360" w:lineRule="auto"/>
        <w:ind w:firstLine="420" w:firstLineChars="200"/>
        <w:rPr>
          <w:rFonts w:ascii="宋体" w:hAnsi="宋体" w:eastAsia="宋体" w:cs="Times New Roman"/>
          <w:szCs w:val="28"/>
          <w:lang w:val="zh-CN"/>
        </w:rPr>
      </w:pPr>
      <w:r>
        <w:rPr>
          <w:rFonts w:hint="eastAsia" w:ascii="宋体" w:hAnsi="宋体" w:eastAsia="宋体" w:cs="Times New Roman"/>
          <w:szCs w:val="28"/>
          <w:lang w:val="zh-CN"/>
        </w:rPr>
        <w:t>本课程的目标和任务是使学生通过自学和辅导考试，能够比较全面地了解俄罗斯文化、历史与现实；掌握常用词、固定短语及句式，提高学生口语能力与交际能力</w:t>
      </w:r>
      <w:r>
        <w:rPr>
          <w:rFonts w:hint="eastAsia"/>
          <w:bCs/>
          <w:szCs w:val="21"/>
        </w:rPr>
        <w:t xml:space="preserve">。 </w:t>
      </w:r>
    </w:p>
    <w:p>
      <w:pPr>
        <w:spacing w:line="360" w:lineRule="auto"/>
        <w:ind w:firstLine="420" w:firstLineChars="200"/>
        <w:rPr>
          <w:rFonts w:hint="eastAsia" w:ascii="宋体" w:hAnsi="宋体" w:eastAsia="宋体" w:cs="Times New Roman"/>
          <w:szCs w:val="28"/>
          <w:lang w:val="zh-CN"/>
        </w:rPr>
      </w:pPr>
      <w:r>
        <w:rPr>
          <w:rFonts w:hint="eastAsia" w:ascii="宋体" w:hAnsi="宋体" w:eastAsia="宋体" w:cs="Times New Roman"/>
          <w:szCs w:val="28"/>
          <w:lang w:val="zh-CN"/>
        </w:rPr>
        <w:t>本课程能够使学生达成如下目标：</w:t>
      </w:r>
    </w:p>
    <w:p>
      <w:pPr>
        <w:keepNext w:val="0"/>
        <w:keepLines w:val="0"/>
        <w:pageBreakBefore w:val="0"/>
        <w:widowControl w:val="0"/>
        <w:numPr>
          <w:ilvl w:val="0"/>
          <w:numId w:val="1"/>
        </w:numPr>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cs="Times New Roman"/>
          <w:bCs/>
          <w:szCs w:val="21"/>
        </w:rPr>
      </w:pPr>
      <w:r>
        <w:rPr>
          <w:rFonts w:hint="default" w:ascii="Times New Roman" w:hAnsi="Times New Roman" w:cs="Times New Roman"/>
          <w:bCs/>
          <w:szCs w:val="21"/>
        </w:rPr>
        <w:t>具有丰富的俄语词汇、语法、俄罗斯国情知识，能够全方位、多视角地了解俄罗斯的历史、文化与现状。</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default" w:ascii="Times New Roman" w:hAnsi="Times New Roman" w:cs="Times New Roman"/>
          <w:bCs/>
          <w:szCs w:val="21"/>
        </w:rPr>
      </w:pPr>
      <w:r>
        <w:rPr>
          <w:rFonts w:hint="default" w:ascii="Times New Roman" w:hAnsi="Times New Roman" w:cs="Times New Roman"/>
          <w:bCs/>
          <w:szCs w:val="21"/>
        </w:rPr>
        <w:t>2.具有完善的言语交际能力，学生听、说、读、写、译五项基本功得到进一步的加强，学生能够用俄语正确表述自己的思想和感情。</w:t>
      </w:r>
    </w:p>
    <w:p>
      <w:pPr>
        <w:keepNext w:val="0"/>
        <w:keepLines w:val="0"/>
        <w:pageBreakBefore w:val="0"/>
        <w:widowControl w:val="0"/>
        <w:kinsoku/>
        <w:wordWrap/>
        <w:overflowPunct/>
        <w:topLinePunct w:val="0"/>
        <w:autoSpaceDE/>
        <w:autoSpaceDN/>
        <w:bidi w:val="0"/>
        <w:snapToGrid/>
        <w:spacing w:line="360" w:lineRule="auto"/>
        <w:ind w:firstLine="420" w:firstLineChars="200"/>
        <w:textAlignment w:val="auto"/>
        <w:rPr>
          <w:rFonts w:hint="default" w:ascii="Times New Roman" w:hAnsi="Times New Roman" w:cs="Times New Roman" w:eastAsiaTheme="minorEastAsia"/>
          <w:bCs/>
          <w:szCs w:val="21"/>
          <w:lang w:eastAsia="zh-CN"/>
        </w:rPr>
      </w:pPr>
      <w:r>
        <w:rPr>
          <w:rFonts w:hint="default" w:ascii="Times New Roman" w:hAnsi="Times New Roman" w:cs="Times New Roman"/>
          <w:bCs/>
          <w:szCs w:val="21"/>
        </w:rPr>
        <w:t>3.学生在掌握词汇、句子结构的基础上，能够对各种题材和体裁的课文进行语言学分析，具有良好的思辨能力，能够分析评论俄语文章的主题思想。</w:t>
      </w:r>
    </w:p>
    <w:p>
      <w:pPr>
        <w:spacing w:line="360" w:lineRule="auto"/>
        <w:rPr>
          <w:rFonts w:ascii="宋体" w:hAnsi="宋体"/>
          <w:b/>
        </w:rPr>
      </w:pPr>
      <w:r>
        <w:rPr>
          <w:rFonts w:hint="eastAsia" w:ascii="宋体" w:hAnsi="宋体"/>
          <w:b/>
        </w:rPr>
        <w:t>三、与本专业其他课程的关系</w:t>
      </w:r>
    </w:p>
    <w:p>
      <w:pPr>
        <w:widowControl/>
        <w:spacing w:line="360" w:lineRule="auto"/>
        <w:ind w:firstLine="405"/>
        <w:jc w:val="left"/>
        <w:rPr>
          <w:rFonts w:ascii="宋体" w:hAnsi="宋体"/>
        </w:rPr>
      </w:pPr>
      <w:r>
        <w:rPr>
          <w:rFonts w:hint="eastAsia" w:ascii="宋体" w:hAnsi="宋体"/>
        </w:rPr>
        <w:t>本课程作为俄语专业必修课，将与俄语专业其他必修课程相辅相成，能够帮助学生在</w:t>
      </w:r>
      <w:r>
        <w:rPr>
          <w:rFonts w:hint="eastAsia" w:ascii="宋体" w:hAnsi="宋体"/>
          <w:lang w:eastAsia="zh-CN"/>
        </w:rPr>
        <w:t>丰富词汇储备</w:t>
      </w:r>
      <w:r>
        <w:rPr>
          <w:rFonts w:hint="eastAsia" w:ascii="宋体" w:hAnsi="宋体"/>
        </w:rPr>
        <w:t>、提高</w:t>
      </w:r>
      <w:r>
        <w:rPr>
          <w:rFonts w:hint="eastAsia" w:ascii="宋体" w:hAnsi="宋体"/>
          <w:lang w:eastAsia="zh-CN"/>
        </w:rPr>
        <w:t>语言运用能力</w:t>
      </w:r>
      <w:r>
        <w:rPr>
          <w:rFonts w:hint="eastAsia" w:ascii="宋体" w:hAnsi="宋体"/>
        </w:rPr>
        <w:t>基础上，</w:t>
      </w:r>
      <w:r>
        <w:rPr>
          <w:rFonts w:hint="eastAsia" w:ascii="宋体" w:hAnsi="宋体"/>
          <w:lang w:eastAsia="zh-CN"/>
        </w:rPr>
        <w:t>锻炼学生的俄语表达能力，促进和帮助学生更好地运用本学科知识理解和学习其他相关俄语课程</w:t>
      </w:r>
      <w:r>
        <w:rPr>
          <w:rFonts w:hint="eastAsia" w:ascii="宋体" w:hAnsi="宋体" w:eastAsia="宋体" w:cs="Times New Roman"/>
          <w:szCs w:val="28"/>
          <w:lang w:val="zh-CN"/>
        </w:rPr>
        <w:t>。</w:t>
      </w:r>
    </w:p>
    <w:p>
      <w:pPr>
        <w:widowControl/>
        <w:spacing w:line="360" w:lineRule="auto"/>
        <w:jc w:val="center"/>
        <w:rPr>
          <w:rFonts w:hint="eastAsia" w:ascii="ˎ̥" w:hAnsi="ˎ̥" w:eastAsia="宋体" w:cs="宋体"/>
          <w:color w:val="000000"/>
          <w:kern w:val="0"/>
          <w:sz w:val="28"/>
          <w:szCs w:val="28"/>
        </w:rPr>
      </w:pPr>
      <w:r>
        <w:rPr>
          <w:rFonts w:hint="eastAsia" w:ascii="ˎ̥" w:hAnsi="ˎ̥" w:eastAsia="宋体" w:cs="宋体"/>
          <w:b/>
          <w:bCs/>
          <w:color w:val="000000"/>
          <w:kern w:val="0"/>
          <w:sz w:val="28"/>
          <w:szCs w:val="28"/>
        </w:rPr>
        <w:t>第二部分考核内容与考核目标</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Урок 1</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ЖЕНЩИНЫ В СОВРЕМЕННОМ ОБЩЕСТВЕ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主课文讲解：了解女人在俄罗斯社会中的地位以及扮演的重要角色</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lang w:val="ru-RU"/>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2</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НОБЕЛЕВСКАЯ ПРЕМИЯ И ЕЕ ЛАУРЕАТЫ</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主课文讲解：了解诺贝尔奖的历史以及获奖人</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3</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ОЛИМПИЙСКОЕ ДВИЖЕНИЕ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主课文讲解：了解奥林匹克运动</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4</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КОСМИЧЕСКИЕ МЕЧТЫ ЧЕЛОВЕЧЕСТВА</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主课文讲解：了解人类与太空的关系以及人类如何走进太空</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jc w:val="center"/>
        <w:rPr>
          <w:rFonts w:hint="eastAsia"/>
          <w:lang w:eastAsia="zh-CN"/>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5</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ЭКРАННАЯ БОЛЕЗНЬ</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主课文讲解：了解媒体、手机等社交工具给生活造成的影响</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6</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 xml:space="preserve">ЗЕМЛЯ </w:t>
      </w:r>
      <w:r>
        <w:rPr>
          <w:rFonts w:hint="eastAsia" w:ascii="ˎ̥" w:hAnsi="ˎ̥" w:eastAsia="宋体" w:cs="宋体"/>
          <w:b/>
          <w:bCs/>
          <w:color w:val="000000"/>
          <w:kern w:val="0"/>
          <w:szCs w:val="21"/>
          <w:lang w:val="ru-RU" w:eastAsia="zh-CN"/>
        </w:rPr>
        <w:t>—</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НАШ ОБЩИЙ ДОМ</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主课文讲解：了解人与土地，人与自然的关系</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lang w:val="ru-RU"/>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7</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eastAsia="zh-CN"/>
        </w:rPr>
        <w:t>О ЧЕМ ДУМАЕТ СОВРЕМЕННАЯ МОЛОДЁЖЬ</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主课文讲解：了解俄罗斯的当代青年</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jc w:val="center"/>
        <w:rPr>
          <w:rFonts w:hint="eastAsia"/>
          <w:lang w:eastAsia="zh-CN"/>
        </w:rPr>
      </w:pPr>
      <w:r>
        <w:rPr>
          <w:rFonts w:hint="eastAsia"/>
          <w:lang w:eastAsia="zh-CN"/>
        </w:rPr>
        <w:t>能够掌握本课积极词汇及用法；能够用俄语概括课文大意；掌握本课设计的国情知识。</w:t>
      </w:r>
    </w:p>
    <w:p>
      <w:pPr>
        <w:widowControl/>
        <w:spacing w:line="360" w:lineRule="auto"/>
        <w:jc w:val="center"/>
        <w:rPr>
          <w:rFonts w:hint="default"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8</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СКОЛЬКО МЫ ПЛАТИМ ЗА ЗДОРОВЬЕ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主课文讲解：了解健康及相关产业对生活的重要性</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spacing w:line="300" w:lineRule="auto"/>
        <w:ind w:firstLine="420" w:firstLineChars="200"/>
        <w:rPr>
          <w:rFonts w:hint="eastAsia" w:ascii="宋体" w:hAnsi="宋体" w:eastAsia="宋体"/>
        </w:rPr>
      </w:pPr>
      <w:r>
        <w:rPr>
          <w:rFonts w:hint="eastAsia"/>
          <w:lang w:eastAsia="zh-CN"/>
        </w:rPr>
        <w:t>能够掌握本课积极词汇及用法；能够用俄语概括课文大意；掌握本课设计的国情知识。</w:t>
      </w:r>
    </w:p>
    <w:p>
      <w:pPr>
        <w:widowControl/>
        <w:spacing w:line="360" w:lineRule="auto"/>
        <w:jc w:val="center"/>
        <w:rPr>
          <w:rFonts w:hint="eastAsia" w:ascii="Times New Roman" w:hAnsi="Times New Roman" w:eastAsia="宋体" w:cs="Times New Roman"/>
          <w:b/>
          <w:bCs/>
          <w:color w:val="000000"/>
          <w:kern w:val="0"/>
          <w:szCs w:val="21"/>
          <w:lang w:val="ru-RU" w:eastAsia="zh-CN"/>
        </w:rPr>
      </w:pPr>
      <w:r>
        <w:rPr>
          <w:rFonts w:hint="default" w:ascii="ˎ̥" w:hAnsi="ˎ̥" w:eastAsia="宋体" w:cs="宋体"/>
          <w:b/>
          <w:bCs/>
          <w:color w:val="000000"/>
          <w:kern w:val="0"/>
          <w:szCs w:val="21"/>
          <w:lang w:val="ru-RU"/>
        </w:rPr>
        <w:t xml:space="preserve">Урок </w:t>
      </w:r>
      <w:r>
        <w:rPr>
          <w:rFonts w:hint="eastAsia" w:ascii="ˎ̥" w:hAnsi="ˎ̥" w:eastAsia="宋体" w:cs="宋体"/>
          <w:b/>
          <w:bCs/>
          <w:color w:val="000000"/>
          <w:kern w:val="0"/>
          <w:szCs w:val="21"/>
          <w:lang w:val="en-US" w:eastAsia="zh-CN"/>
        </w:rPr>
        <w:t>9</w:t>
      </w:r>
      <w:r>
        <w:rPr>
          <w:rFonts w:hint="eastAsia" w:ascii="ˎ̥" w:hAnsi="ˎ̥" w:eastAsia="宋体" w:cs="宋体"/>
          <w:b/>
          <w:bCs/>
          <w:color w:val="000000"/>
          <w:kern w:val="0"/>
          <w:szCs w:val="21"/>
        </w:rPr>
        <w:t xml:space="preserve"> </w:t>
      </w:r>
      <w:r>
        <w:rPr>
          <w:rFonts w:hint="eastAsia" w:ascii="ˎ̥" w:hAnsi="ˎ̥" w:eastAsia="宋体" w:cs="宋体"/>
          <w:b/>
          <w:bCs/>
          <w:color w:val="000000"/>
          <w:kern w:val="0"/>
          <w:szCs w:val="21"/>
          <w:lang w:val="en-US" w:eastAsia="zh-CN"/>
        </w:rPr>
        <w:t xml:space="preserve"> </w:t>
      </w:r>
      <w:r>
        <w:rPr>
          <w:rFonts w:hint="default" w:ascii="ˎ̥" w:hAnsi="ˎ̥" w:eastAsia="宋体" w:cs="宋体"/>
          <w:b/>
          <w:bCs/>
          <w:color w:val="000000"/>
          <w:kern w:val="0"/>
          <w:szCs w:val="21"/>
          <w:lang w:val="ru-RU"/>
        </w:rPr>
        <w:t>ОДНО ОБРАЗОВАНИЕ ХОРОШО</w:t>
      </w:r>
      <w:r>
        <w:rPr>
          <w:rFonts w:hint="eastAsia" w:ascii="ˎ̥" w:hAnsi="ˎ̥" w:eastAsia="宋体" w:cs="宋体"/>
          <w:b/>
          <w:bCs/>
          <w:color w:val="000000"/>
          <w:kern w:val="0"/>
          <w:szCs w:val="21"/>
          <w:lang w:val="en-US" w:eastAsia="zh-CN"/>
        </w:rPr>
        <w:t xml:space="preserve"> </w:t>
      </w:r>
      <w:r>
        <w:rPr>
          <w:rFonts w:hint="eastAsia" w:ascii="ˎ̥" w:hAnsi="ˎ̥" w:eastAsia="宋体" w:cs="宋体"/>
          <w:b/>
          <w:bCs/>
          <w:color w:val="000000"/>
          <w:kern w:val="0"/>
          <w:szCs w:val="21"/>
          <w:lang w:val="ru-RU" w:eastAsia="zh-CN"/>
        </w:rPr>
        <w:t>—</w:t>
      </w:r>
      <w:r>
        <w:rPr>
          <w:rFonts w:hint="default" w:ascii="ˎ̥" w:hAnsi="ˎ̥" w:eastAsia="宋体" w:cs="宋体"/>
          <w:b/>
          <w:bCs/>
          <w:color w:val="000000"/>
          <w:kern w:val="0"/>
          <w:szCs w:val="21"/>
          <w:lang w:val="ru-RU"/>
        </w:rPr>
        <w:t xml:space="preserve"> А ДВА ЛУЧШЕ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eastAsia="zh-CN"/>
        </w:rPr>
      </w:pPr>
      <w:r>
        <w:rPr>
          <w:rFonts w:hint="eastAsia"/>
        </w:rPr>
        <w:t>掌握本课的积极词汇、常用结构及课文内容</w:t>
      </w:r>
      <w:r>
        <w:rPr>
          <w:rFonts w:hint="eastAsia"/>
          <w:lang w:eastAsia="zh-CN"/>
        </w:rPr>
        <w:t>；</w:t>
      </w:r>
      <w:r>
        <w:rPr>
          <w:rFonts w:hint="eastAsia" w:hAnsi="宋体"/>
          <w:sz w:val="21"/>
          <w:szCs w:val="21"/>
        </w:rPr>
        <w:t>了解相关的国情知识</w:t>
      </w:r>
      <w:r>
        <w:rPr>
          <w:rFonts w:hint="eastAsia" w:hAnsi="宋体"/>
          <w:sz w:val="21"/>
          <w:szCs w:val="21"/>
          <w:lang w:eastAsia="zh-CN"/>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词汇讲解</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词汇练习</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主课文讲解：了解教育的重要性以及教育如何改变人生</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lang w:eastAsia="zh-CN"/>
        </w:rPr>
        <w:t>能够掌握本课积极词汇及用法；能够用俄语概括课文大意；掌握本课设计的国情知识。</w:t>
      </w:r>
    </w:p>
    <w:p>
      <w:pPr>
        <w:spacing w:line="360" w:lineRule="auto"/>
        <w:ind w:firstLine="422" w:firstLineChars="200"/>
        <w:jc w:val="center"/>
        <w:rPr>
          <w:rFonts w:hint="eastAsia" w:ascii="ˎ̥" w:hAnsi="ˎ̥" w:eastAsia="宋体" w:cs="宋体"/>
          <w:b/>
          <w:bCs/>
          <w:color w:val="FF0000"/>
          <w:kern w:val="0"/>
          <w:szCs w:val="21"/>
          <w:lang w:val="ru-RU"/>
        </w:rPr>
      </w:pPr>
    </w:p>
    <w:p>
      <w:pPr>
        <w:spacing w:line="360" w:lineRule="auto"/>
        <w:ind w:firstLine="562" w:firstLineChars="200"/>
        <w:jc w:val="center"/>
        <w:rPr>
          <w:sz w:val="28"/>
          <w:szCs w:val="28"/>
        </w:rPr>
      </w:pPr>
      <w:r>
        <w:rPr>
          <w:rFonts w:hint="eastAsia" w:ascii="宋体" w:hAnsi="宋体"/>
          <w:b/>
          <w:sz w:val="28"/>
          <w:szCs w:val="28"/>
        </w:rPr>
        <w:t>第三部分有关说明与实施要求</w:t>
      </w:r>
    </w:p>
    <w:p>
      <w:pPr>
        <w:spacing w:line="360" w:lineRule="auto"/>
        <w:ind w:firstLine="420" w:firstLineChars="200"/>
        <w:rPr>
          <w:rFonts w:ascii="ˎ̥" w:hAnsi="ˎ̥" w:eastAsia="宋体" w:cs="宋体"/>
          <w:color w:val="000000"/>
          <w:kern w:val="0"/>
          <w:szCs w:val="21"/>
        </w:rPr>
      </w:pPr>
      <w:r>
        <w:rPr>
          <w:rFonts w:hint="eastAsia" w:ascii="ˎ̥" w:hAnsi="ˎ̥" w:eastAsia="宋体" w:cs="宋体"/>
          <w:color w:val="000000"/>
          <w:kern w:val="0"/>
          <w:szCs w:val="21"/>
        </w:rPr>
        <w:t>为了使本大纲的规定在个人自学、社会助学和考试命题中得到贯彻落实，特对相关问题作如下说明，并提出具体实施要求：</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一、本课程的考试要求</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w:t>
      </w:r>
      <w:r>
        <w:rPr>
          <w:rFonts w:hint="eastAsia" w:hAnsi="宋体" w:cs="宋体"/>
          <w:sz w:val="21"/>
          <w:szCs w:val="21"/>
        </w:rPr>
        <w:t>考核学生整个学期所学的语言知识点的掌握和运用能力</w:t>
      </w:r>
      <w:r>
        <w:rPr>
          <w:rFonts w:hint="eastAsia" w:ascii="ˎ̥" w:hAnsi="ˎ̥" w:eastAsia="宋体" w:cs="宋体"/>
          <w:color w:val="000000"/>
          <w:kern w:val="0"/>
          <w:szCs w:val="21"/>
        </w:rPr>
        <w:t>。</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w:t>
      </w:r>
      <w:r>
        <w:rPr>
          <w:rFonts w:hint="eastAsia" w:hAnsi="宋体" w:cs="宋体"/>
          <w:sz w:val="21"/>
          <w:szCs w:val="21"/>
        </w:rPr>
        <w:t>考查学生应用语言知识的口头表达能力</w:t>
      </w:r>
      <w:r>
        <w:rPr>
          <w:rFonts w:hint="eastAsia" w:hAnsi="宋体" w:cs="宋体"/>
          <w:sz w:val="21"/>
          <w:szCs w:val="21"/>
          <w:lang w:eastAsia="zh-CN"/>
        </w:rPr>
        <w:t>，着重关注学生</w:t>
      </w:r>
      <w:r>
        <w:rPr>
          <w:rFonts w:hint="eastAsia" w:hAnsi="宋体" w:cs="宋体"/>
          <w:sz w:val="21"/>
          <w:szCs w:val="21"/>
        </w:rPr>
        <w:t>口头表达内容和语言流利准确度</w:t>
      </w:r>
      <w:r>
        <w:rPr>
          <w:rFonts w:hint="eastAsia" w:ascii="ˎ̥" w:hAnsi="ˎ̥" w:eastAsia="宋体" w:cs="宋体"/>
          <w:color w:val="000000"/>
          <w:kern w:val="0"/>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二、本课程使用的教材与参考书</w:t>
      </w:r>
    </w:p>
    <w:p>
      <w:pPr>
        <w:spacing w:line="360" w:lineRule="auto"/>
        <w:ind w:firstLine="420" w:firstLineChars="200"/>
        <w:rPr>
          <w:rFonts w:hint="default" w:ascii="Times New Roman" w:hAnsi="Times New Roman" w:eastAsia="宋体" w:cs="Times New Roman"/>
          <w:color w:val="000000"/>
          <w:kern w:val="0"/>
          <w:szCs w:val="21"/>
        </w:rPr>
      </w:pPr>
      <w:r>
        <w:rPr>
          <w:rFonts w:hint="default" w:ascii="Times New Roman" w:hAnsi="Times New Roman" w:eastAsia="宋体" w:cs="Times New Roman"/>
          <w:color w:val="000000"/>
          <w:kern w:val="0"/>
          <w:szCs w:val="21"/>
        </w:rPr>
        <w:t>1）指定使用教材：</w:t>
      </w:r>
      <w:r>
        <w:rPr>
          <w:rFonts w:hint="default" w:ascii="Times New Roman" w:hAnsi="Times New Roman" w:cs="Times New Roman"/>
          <w:szCs w:val="21"/>
        </w:rPr>
        <w:t>邓军 主编，俄语（</w:t>
      </w:r>
      <w:r>
        <w:rPr>
          <w:rFonts w:hint="eastAsia" w:ascii="Times New Roman" w:hAnsi="Times New Roman" w:cs="Times New Roman"/>
          <w:szCs w:val="21"/>
          <w:lang w:val="en-US" w:eastAsia="zh-CN"/>
        </w:rPr>
        <w:t>6</w:t>
      </w:r>
      <w:r>
        <w:rPr>
          <w:rFonts w:hint="default" w:ascii="Times New Roman" w:hAnsi="Times New Roman" w:cs="Times New Roman"/>
          <w:szCs w:val="21"/>
        </w:rPr>
        <w:t>）[M]. 北京: 外语教学与研究出版社，2005年12月</w:t>
      </w:r>
      <w:r>
        <w:rPr>
          <w:rFonts w:hint="default" w:ascii="Times New Roman" w:hAnsi="Times New Roman" w:eastAsia="宋体" w:cs="Times New Roman"/>
          <w:color w:val="000000"/>
          <w:kern w:val="0"/>
          <w:szCs w:val="21"/>
        </w:rPr>
        <w:t>。</w:t>
      </w:r>
    </w:p>
    <w:p>
      <w:pPr>
        <w:spacing w:line="360" w:lineRule="auto"/>
        <w:ind w:firstLine="420" w:firstLineChars="200"/>
        <w:rPr>
          <w:rFonts w:hint="default" w:ascii="Times New Roman" w:hAnsi="Times New Roman" w:cs="Times New Roman" w:eastAsiaTheme="minorEastAsia"/>
          <w:szCs w:val="21"/>
          <w:lang w:eastAsia="zh-CN"/>
        </w:rPr>
      </w:pPr>
      <w:r>
        <w:rPr>
          <w:rFonts w:hint="default" w:ascii="Times New Roman" w:hAnsi="Times New Roman" w:eastAsia="宋体" w:cs="Times New Roman"/>
          <w:color w:val="000000"/>
          <w:kern w:val="0"/>
          <w:szCs w:val="21"/>
        </w:rPr>
        <w:t>2）参</w:t>
      </w:r>
      <w:r>
        <w:rPr>
          <w:rFonts w:hint="default" w:ascii="Times New Roman" w:hAnsi="Times New Roman" w:cs="Times New Roman"/>
          <w:szCs w:val="21"/>
        </w:rPr>
        <w:t>考书：</w:t>
      </w:r>
      <w:r>
        <w:rPr>
          <w:rFonts w:hint="default" w:ascii="Times New Roman" w:hAnsi="Times New Roman" w:cs="Times New Roman"/>
          <w:sz w:val="21"/>
          <w:szCs w:val="21"/>
        </w:rPr>
        <w:t>史铁强主编，大学俄语东方（新版）（</w:t>
      </w:r>
      <w:r>
        <w:rPr>
          <w:rFonts w:hint="eastAsia" w:ascii="Times New Roman" w:hAnsi="Times New Roman" w:cs="Times New Roman"/>
          <w:sz w:val="21"/>
          <w:szCs w:val="21"/>
          <w:lang w:val="en-US" w:eastAsia="zh-CN"/>
        </w:rPr>
        <w:t>6</w:t>
      </w:r>
      <w:r>
        <w:rPr>
          <w:rFonts w:hint="default" w:ascii="Times New Roman" w:hAnsi="Times New Roman" w:cs="Times New Roman"/>
          <w:sz w:val="21"/>
          <w:szCs w:val="21"/>
        </w:rPr>
        <w:t>）[M]. 北京: 外语教学与研究出版社，2011年8月</w:t>
      </w:r>
      <w:r>
        <w:rPr>
          <w:rFonts w:hint="default" w:ascii="Times New Roman" w:hAnsi="Times New Roman" w:cs="Times New Roman"/>
          <w:sz w:val="21"/>
          <w:szCs w:val="21"/>
          <w:lang w:eastAsia="zh-CN"/>
        </w:rPr>
        <w:t>。</w:t>
      </w:r>
    </w:p>
    <w:p>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3）参考书：</w:t>
      </w:r>
      <w:r>
        <w:rPr>
          <w:rFonts w:hint="default" w:ascii="Times New Roman" w:hAnsi="Times New Roman" w:cs="Times New Roman"/>
          <w:sz w:val="21"/>
          <w:szCs w:val="21"/>
        </w:rPr>
        <w:t>高等学校俄语专业教学大纲[M]. 北京: 外语教学与研究出版社, 2012年10月</w:t>
      </w:r>
      <w:r>
        <w:rPr>
          <w:rFonts w:hint="default" w:ascii="Times New Roman" w:hAnsi="Times New Roman" w:cs="Times New Roman"/>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三、自学方法指导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考生如果希望以自学为主通过考试，应在自学中注意以下事项：</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 xml:space="preserve">(1) </w:t>
      </w:r>
      <w:r>
        <w:rPr>
          <w:rFonts w:hint="eastAsia" w:ascii="ˎ̥" w:hAnsi="ˎ̥" w:eastAsia="宋体" w:cs="宋体"/>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pPr>
        <w:spacing w:line="360" w:lineRule="auto"/>
        <w:ind w:firstLine="420" w:firstLineChars="200"/>
        <w:rPr>
          <w:rFonts w:ascii="ˎ̥" w:hAnsi="ˎ̥" w:eastAsia="宋体" w:cs="宋体"/>
          <w:color w:val="000000"/>
          <w:kern w:val="0"/>
          <w:szCs w:val="21"/>
        </w:rPr>
      </w:pPr>
      <w:r>
        <w:rPr>
          <w:rFonts w:ascii="ˎ̥" w:hAnsi="ˎ̥" w:eastAsia="宋体" w:cs="宋体"/>
          <w:color w:val="000000"/>
          <w:kern w:val="0"/>
          <w:szCs w:val="21"/>
        </w:rPr>
        <w:t xml:space="preserve">(2) </w:t>
      </w:r>
      <w:r>
        <w:rPr>
          <w:rFonts w:hint="eastAsia" w:ascii="ˎ̥" w:hAnsi="ˎ̥" w:eastAsia="宋体" w:cs="宋体"/>
          <w:color w:val="000000"/>
          <w:kern w:val="0"/>
          <w:szCs w:val="21"/>
        </w:rPr>
        <w:t>本课程的学习力求做到</w:t>
      </w:r>
      <w:r>
        <w:rPr>
          <w:rFonts w:hint="eastAsia"/>
          <w:bCs/>
          <w:szCs w:val="21"/>
        </w:rPr>
        <w:t>培养学生在日常生活及一般社会文化生活范围内运用俄语进行交际的能力，同时将语言文化和言语礼节知识渗透到教学过程中，</w:t>
      </w:r>
      <w:r>
        <w:rPr>
          <w:rFonts w:hint="eastAsia"/>
          <w:bCs/>
          <w:szCs w:val="21"/>
          <w:lang w:val="en-US" w:eastAsia="zh-CN"/>
        </w:rPr>
        <w:t>使</w:t>
      </w:r>
      <w:r>
        <w:rPr>
          <w:rFonts w:hint="eastAsia"/>
          <w:bCs/>
          <w:szCs w:val="21"/>
        </w:rPr>
        <w:t>学生</w:t>
      </w:r>
      <w:r>
        <w:rPr>
          <w:rFonts w:hint="eastAsia"/>
          <w:bCs/>
          <w:szCs w:val="21"/>
          <w:lang w:val="en-US" w:eastAsia="zh-CN"/>
        </w:rPr>
        <w:t>能够</w:t>
      </w:r>
      <w:r>
        <w:rPr>
          <w:rFonts w:hint="eastAsia"/>
          <w:bCs/>
          <w:szCs w:val="21"/>
        </w:rPr>
        <w:t>娴熟自如地掌握</w:t>
      </w:r>
      <w:r>
        <w:rPr>
          <w:rFonts w:hint="eastAsia"/>
          <w:bCs/>
          <w:szCs w:val="21"/>
          <w:lang w:val="en-US" w:eastAsia="zh-CN"/>
        </w:rPr>
        <w:t>俄语</w:t>
      </w:r>
      <w:r>
        <w:rPr>
          <w:rFonts w:hint="eastAsia"/>
          <w:bCs/>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四、对社会助学的要求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1．应熟知考试大纲对课程提出的总要求和各</w:t>
      </w:r>
      <w:r>
        <w:rPr>
          <w:rFonts w:hint="eastAsia" w:ascii="ˎ̥" w:hAnsi="ˎ̥" w:eastAsia="宋体" w:cs="宋体"/>
          <w:kern w:val="0"/>
          <w:szCs w:val="21"/>
        </w:rPr>
        <w:t>课的</w:t>
      </w:r>
      <w:r>
        <w:rPr>
          <w:rFonts w:hint="eastAsia" w:ascii="ˎ̥" w:hAnsi="ˎ̥" w:eastAsia="宋体" w:cs="宋体"/>
          <w:color w:val="000000"/>
          <w:kern w:val="0"/>
          <w:szCs w:val="21"/>
        </w:rPr>
        <w:t>知识点。</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2．应掌握各知识点要求达到的能力层次，并深刻理解对各知识点的考核目标。</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3．辅导时，应以考试大纲为依据，指定的教材为基础，不要随意增删内容，以免与大纲脱节。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4．辅导时，应对学习方法进行指导，宜提倡“认真阅读教材，刻苦钻研教材，主动争取帮助，依靠自己学通”的方法。</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5．辅导时，要注意突出重点，对考生提出的问题，不要有问即答，要积极启发引导。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6．注意对应考者能力的培养，特别是自学能力的培养，要引导学生逐步学会独立学习，在自学过程中善于提出问题，分析问题，做出判断，解决问题。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7．要使考生了解试题的难易与能力层次高低两者不完全是一回事，在各个能力层次中会存在着不同难度的试题。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8．助学学时：本课程共</w:t>
      </w:r>
      <w:r>
        <w:rPr>
          <w:rFonts w:hint="eastAsia" w:ascii="ˎ̥" w:hAnsi="ˎ̥" w:eastAsia="宋体" w:cs="宋体"/>
          <w:color w:val="000000"/>
          <w:kern w:val="0"/>
          <w:szCs w:val="21"/>
          <w:lang w:val="en-US" w:eastAsia="zh-CN"/>
        </w:rPr>
        <w:t>10</w:t>
      </w:r>
      <w:r>
        <w:rPr>
          <w:rFonts w:hint="eastAsia" w:ascii="ˎ̥" w:hAnsi="ˎ̥" w:eastAsia="宋体" w:cs="宋体"/>
          <w:color w:val="000000"/>
          <w:kern w:val="0"/>
          <w:szCs w:val="21"/>
        </w:rPr>
        <w:t>学分，建议总课时</w:t>
      </w:r>
      <w:r>
        <w:rPr>
          <w:rFonts w:hint="eastAsia" w:ascii="ˎ̥" w:hAnsi="ˎ̥" w:eastAsia="宋体" w:cs="宋体"/>
          <w:color w:val="000000"/>
          <w:kern w:val="0"/>
          <w:szCs w:val="21"/>
          <w:lang w:val="en-US" w:eastAsia="zh-CN"/>
        </w:rPr>
        <w:t>180</w:t>
      </w:r>
      <w:r>
        <w:rPr>
          <w:rFonts w:hint="eastAsia" w:ascii="ˎ̥" w:hAnsi="ˎ̥" w:eastAsia="宋体" w:cs="宋体"/>
          <w:color w:val="000000"/>
          <w:kern w:val="0"/>
          <w:szCs w:val="21"/>
        </w:rPr>
        <w:t>学时，其中助学课时分配如下：</w:t>
      </w:r>
    </w:p>
    <w:tbl>
      <w:tblPr>
        <w:tblStyle w:val="8"/>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439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章次</w:t>
            </w:r>
          </w:p>
        </w:tc>
        <w:tc>
          <w:tcPr>
            <w:tcW w:w="4394" w:type="dxa"/>
          </w:tcPr>
          <w:p>
            <w:pPr>
              <w:spacing w:line="360" w:lineRule="auto"/>
              <w:ind w:firstLine="1470" w:firstLineChars="700"/>
              <w:rPr>
                <w:rFonts w:hint="eastAsia" w:ascii="ˎ̥" w:hAnsi="ˎ̥" w:eastAsia="宋体" w:cs="宋体"/>
                <w:color w:val="000000"/>
                <w:kern w:val="0"/>
                <w:szCs w:val="21"/>
              </w:rPr>
            </w:pPr>
            <w:r>
              <w:rPr>
                <w:rFonts w:hint="eastAsia" w:ascii="ˎ̥" w:hAnsi="ˎ̥" w:eastAsia="宋体" w:cs="宋体"/>
                <w:color w:val="000000"/>
                <w:kern w:val="0"/>
                <w:szCs w:val="21"/>
              </w:rPr>
              <w:t>内容</w:t>
            </w:r>
          </w:p>
        </w:tc>
        <w:tc>
          <w:tcPr>
            <w:tcW w:w="1418" w:type="dxa"/>
          </w:tcPr>
          <w:p>
            <w:pPr>
              <w:spacing w:line="360" w:lineRule="auto"/>
              <w:ind w:firstLine="105" w:firstLineChars="50"/>
              <w:rPr>
                <w:rFonts w:hint="eastAsia" w:ascii="ˎ̥" w:hAnsi="ˎ̥" w:eastAsia="宋体" w:cs="宋体"/>
                <w:color w:val="000000"/>
                <w:kern w:val="0"/>
                <w:szCs w:val="21"/>
              </w:rPr>
            </w:pPr>
            <w:r>
              <w:rPr>
                <w:rFonts w:hint="eastAsia" w:ascii="ˎ̥" w:hAnsi="ˎ̥" w:eastAsia="宋体" w:cs="宋体"/>
                <w:color w:val="000000"/>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1</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00" w:lineRule="auto"/>
              <w:rPr>
                <w:rFonts w:hint="eastAsia" w:ascii="Times New Roman" w:hAnsi="Times New Roman" w:cs="Times New Roman"/>
                <w:bCs/>
                <w:szCs w:val="21"/>
                <w:lang w:val="ru-RU" w:eastAsia="zh-CN"/>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default"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1</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2</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2</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3</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3</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4</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 xml:space="preserve">Урок 4 </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5</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5</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6</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6</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7</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ascii="Times New Roman" w:hAnsi="Times New Roman" w:eastAsia="宋体" w:cs="Times New Roman"/>
                <w:color w:val="000000"/>
                <w:kern w:val="0"/>
                <w:szCs w:val="21"/>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hint="eastAsia"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7</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8</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8</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9</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词汇讲解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词汇练习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default" w:ascii="ˎ̥" w:hAnsi="ˎ̥" w:eastAsia="宋体" w:cs="宋体"/>
                <w:color w:val="000000"/>
                <w:kern w:val="0"/>
                <w:szCs w:val="21"/>
                <w:lang w:val="ru-RU"/>
              </w:rPr>
            </w:pPr>
            <w:r>
              <w:rPr>
                <w:rFonts w:hint="default" w:ascii="ˎ̥" w:hAnsi="ˎ̥" w:eastAsia="宋体" w:cs="宋体"/>
                <w:color w:val="000000"/>
                <w:kern w:val="0"/>
                <w:szCs w:val="21"/>
                <w:lang w:val="ru-RU"/>
              </w:rPr>
              <w:t>Урок 9</w:t>
            </w:r>
          </w:p>
        </w:tc>
        <w:tc>
          <w:tcPr>
            <w:tcW w:w="4394" w:type="dxa"/>
          </w:tcPr>
          <w:p>
            <w:pPr>
              <w:spacing w:line="300" w:lineRule="auto"/>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eastAsia="zh-CN"/>
              </w:rPr>
              <w:t>主课文讲解</w:t>
            </w:r>
          </w:p>
          <w:p>
            <w:pPr>
              <w:spacing w:line="360" w:lineRule="auto"/>
              <w:rPr>
                <w:rFonts w:hint="eastAsia" w:ascii="Times New Roman" w:hAnsi="Times New Roman" w:cs="Times New Roman"/>
                <w:szCs w:val="21"/>
                <w:lang w:val="ru-RU"/>
              </w:rPr>
            </w:pPr>
            <w:r>
              <w:rPr>
                <w:rFonts w:hint="eastAsia" w:ascii="Times New Roman" w:hAnsi="Times New Roman" w:cs="Times New Roman"/>
                <w:bCs/>
                <w:szCs w:val="21"/>
                <w:lang w:val="ru-RU" w:eastAsia="zh-CN"/>
              </w:rPr>
              <w:t>课后练习</w:t>
            </w:r>
          </w:p>
        </w:tc>
        <w:tc>
          <w:tcPr>
            <w:tcW w:w="1418" w:type="dxa"/>
          </w:tcPr>
          <w:p>
            <w:pPr>
              <w:spacing w:line="360" w:lineRule="auto"/>
              <w:ind w:firstLine="315" w:firstLineChars="150"/>
              <w:rPr>
                <w:rFonts w:ascii="ˎ̥" w:hAnsi="ˎ̥" w:eastAsia="宋体" w:cs="宋体"/>
                <w:color w:val="000000"/>
                <w:kern w:val="0"/>
                <w:szCs w:val="21"/>
              </w:rPr>
            </w:pPr>
            <w:r>
              <w:rPr>
                <w:rFonts w:hint="default" w:ascii="ˎ̥" w:hAnsi="ˎ̥" w:eastAsia="宋体" w:cs="宋体"/>
                <w:color w:val="000000"/>
                <w:kern w:val="0"/>
                <w:szCs w:val="21"/>
                <w:lang w:val="ru-RU"/>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769" w:type="dxa"/>
            <w:gridSpan w:val="2"/>
          </w:tcPr>
          <w:p>
            <w:pPr>
              <w:spacing w:line="360" w:lineRule="auto"/>
              <w:jc w:val="center"/>
              <w:rPr>
                <w:rFonts w:hint="eastAsia" w:ascii="ˎ̥" w:hAnsi="ˎ̥" w:eastAsia="宋体" w:cs="宋体"/>
                <w:color w:val="000000"/>
                <w:kern w:val="0"/>
                <w:szCs w:val="21"/>
              </w:rPr>
            </w:pPr>
            <w:r>
              <w:rPr>
                <w:rFonts w:hint="eastAsia" w:ascii="ˎ̥" w:hAnsi="ˎ̥" w:eastAsia="宋体" w:cs="宋体"/>
                <w:color w:val="000000"/>
                <w:kern w:val="0"/>
                <w:szCs w:val="21"/>
              </w:rPr>
              <w:t>总计</w:t>
            </w:r>
          </w:p>
        </w:tc>
        <w:tc>
          <w:tcPr>
            <w:tcW w:w="1418" w:type="dxa"/>
          </w:tcPr>
          <w:p>
            <w:pPr>
              <w:spacing w:line="360" w:lineRule="auto"/>
              <w:ind w:firstLine="315" w:firstLineChars="150"/>
              <w:rPr>
                <w:rFonts w:hint="default" w:ascii="ˎ̥" w:hAnsi="ˎ̥" w:eastAsia="宋体" w:cs="宋体"/>
                <w:color w:val="000000"/>
                <w:kern w:val="0"/>
                <w:szCs w:val="21"/>
                <w:lang w:val="ru-RU"/>
              </w:rPr>
            </w:pPr>
            <w:r>
              <w:rPr>
                <w:rFonts w:hint="default" w:ascii="ˎ̥" w:hAnsi="ˎ̥" w:eastAsia="宋体" w:cs="宋体"/>
                <w:color w:val="000000"/>
                <w:kern w:val="0"/>
                <w:szCs w:val="21"/>
                <w:lang w:val="ru-RU"/>
              </w:rPr>
              <w:t>180</w:t>
            </w:r>
          </w:p>
        </w:tc>
      </w:tr>
    </w:tbl>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五、对考试的内容与考核目标的说明</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这是本考试大纲的主要内容，它包括以下三个方面：</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（一）基本要求：指考生对考试范围内的各课内容应该达到牢固掌握的程度。为使考生更好地把握各</w:t>
      </w:r>
      <w:r>
        <w:rPr>
          <w:rFonts w:hint="eastAsia" w:ascii="ˎ̥" w:hAnsi="ˎ̥" w:eastAsia="宋体" w:cs="宋体"/>
          <w:color w:val="000000"/>
          <w:kern w:val="0"/>
          <w:szCs w:val="21"/>
          <w:lang w:val="ru-RU"/>
        </w:rPr>
        <w:t>课</w:t>
      </w:r>
      <w:r>
        <w:rPr>
          <w:rFonts w:hint="eastAsia" w:ascii="ˎ̥" w:hAnsi="ˎ̥" w:eastAsia="宋体" w:cs="宋体"/>
          <w:color w:val="000000"/>
          <w:kern w:val="0"/>
          <w:szCs w:val="21"/>
        </w:rPr>
        <w:t>的基本要求，本大纲在下面考核目标和具体要求中，出具体规定。</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（二）考核知识点：指各课中需要考核的部分。在本大纲中，对于各课的内容规定了若干个知识点，具体的知识点又可分成若干个知识细目。</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（三）考核目标和具体要求：指考生应该把握知识点的程度，它是本课程进行命题时的基本依据。</w:t>
      </w:r>
    </w:p>
    <w:p>
      <w:pPr>
        <w:spacing w:line="360" w:lineRule="auto"/>
        <w:rPr>
          <w:rFonts w:hint="eastAsia" w:ascii="ˎ̥" w:hAnsi="ˎ̥" w:eastAsia="宋体" w:cs="宋体"/>
          <w:b/>
          <w:kern w:val="0"/>
          <w:szCs w:val="21"/>
        </w:rPr>
      </w:pPr>
      <w:r>
        <w:rPr>
          <w:rFonts w:hint="eastAsia" w:ascii="ˎ̥" w:hAnsi="ˎ̥" w:eastAsia="宋体" w:cs="宋体"/>
          <w:b/>
          <w:kern w:val="0"/>
          <w:szCs w:val="21"/>
        </w:rPr>
        <w:t>六、关于本课程考试命题的若干规定</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、本门课程采用闭卷考试，时间为</w:t>
      </w:r>
      <w:r>
        <w:rPr>
          <w:rFonts w:ascii="ˎ̥" w:hAnsi="ˎ̥" w:eastAsia="宋体" w:cs="宋体"/>
          <w:color w:val="000000"/>
          <w:kern w:val="0"/>
          <w:szCs w:val="21"/>
          <w:highlight w:val="yellow"/>
        </w:rPr>
        <w:t>150</w:t>
      </w:r>
      <w:r>
        <w:rPr>
          <w:rFonts w:hint="eastAsia" w:ascii="ˎ̥" w:hAnsi="ˎ̥" w:eastAsia="宋体" w:cs="宋体"/>
          <w:color w:val="000000"/>
          <w:kern w:val="0"/>
          <w:szCs w:val="21"/>
        </w:rPr>
        <w:t>分钟，</w:t>
      </w:r>
      <w:r>
        <w:rPr>
          <w:rFonts w:hint="eastAsia" w:ascii="ˎ̥" w:hAnsi="ˎ̥" w:eastAsia="宋体" w:cs="宋体"/>
          <w:color w:val="000000"/>
          <w:kern w:val="0"/>
          <w:szCs w:val="21"/>
          <w:highlight w:val="yellow"/>
        </w:rPr>
        <w:t>采用百分制评分</w:t>
      </w:r>
      <w:r>
        <w:rPr>
          <w:rFonts w:hint="eastAsia" w:ascii="ˎ̥" w:hAnsi="ˎ̥" w:eastAsia="宋体" w:cs="宋体"/>
          <w:color w:val="000000"/>
          <w:kern w:val="0"/>
          <w:szCs w:val="21"/>
        </w:rPr>
        <w:t>，</w:t>
      </w:r>
      <w:r>
        <w:rPr>
          <w:rFonts w:hint="eastAsia" w:ascii="ˎ̥" w:hAnsi="ˎ̥" w:eastAsia="宋体" w:cs="宋体"/>
          <w:color w:val="000000"/>
          <w:kern w:val="0"/>
          <w:szCs w:val="21"/>
          <w:highlight w:val="yellow"/>
        </w:rPr>
        <w:t>60</w:t>
      </w:r>
      <w:r>
        <w:rPr>
          <w:rFonts w:hint="eastAsia" w:ascii="ˎ̥" w:hAnsi="ˎ̥" w:eastAsia="宋体" w:cs="宋体"/>
          <w:color w:val="000000"/>
          <w:kern w:val="0"/>
          <w:szCs w:val="21"/>
        </w:rPr>
        <w:t>分及格。</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、本大纲各课所规定的基本要求、知识点及知识点下的知识细目，都属于考核的内容。考试命题要注意突出课程的重点，加大重点内容的覆盖度。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3</w:t>
      </w:r>
      <w:r>
        <w:rPr>
          <w:rFonts w:hint="eastAsia" w:ascii="ˎ̥" w:hAnsi="ˎ̥" w:eastAsia="宋体" w:cs="宋体"/>
          <w:color w:val="000000"/>
          <w:kern w:val="0"/>
          <w:szCs w:val="21"/>
        </w:rPr>
        <w:t>、</w:t>
      </w:r>
      <w:bookmarkStart w:id="0" w:name="_Hlk150077475"/>
      <w:r>
        <w:rPr>
          <w:rFonts w:hint="eastAsia" w:ascii="ˎ̥" w:hAnsi="ˎ̥" w:eastAsia="宋体" w:cs="宋体"/>
          <w:color w:val="000000"/>
          <w:kern w:val="0"/>
          <w:szCs w:val="21"/>
        </w:rPr>
        <w:t>命题不应有超出大纲中考核知识点范围的题，考核目标不得高于大纲中所规定的相应的最高能力层次要求。</w:t>
      </w:r>
      <w:bookmarkEnd w:id="0"/>
      <w:r>
        <w:rPr>
          <w:rFonts w:hint="eastAsia" w:ascii="ˎ̥" w:hAnsi="ˎ̥" w:eastAsia="宋体" w:cs="宋体"/>
          <w:color w:val="000000"/>
          <w:kern w:val="0"/>
          <w:szCs w:val="21"/>
        </w:rPr>
        <w:t>命题应着重考核自学者对基本概念、基本知识和基本理论是否了解或掌握，对基本方法是否会用或熟练。不应出与基本要求不符的偏题或怪题。</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4</w:t>
      </w:r>
      <w:r>
        <w:rPr>
          <w:rFonts w:hint="eastAsia" w:ascii="ˎ̥" w:hAnsi="ˎ̥" w:eastAsia="宋体" w:cs="宋体"/>
          <w:color w:val="000000"/>
          <w:kern w:val="0"/>
          <w:szCs w:val="21"/>
        </w:rPr>
        <w:t>、要合理安排试题的难易程度，试题的难度可分为：易、较易、较难和难四个等级。</w:t>
      </w:r>
    </w:p>
    <w:p>
      <w:pPr>
        <w:spacing w:line="360" w:lineRule="auto"/>
        <w:rPr>
          <w:rFonts w:hint="eastAsia" w:ascii="ˎ̥" w:hAnsi="ˎ̥" w:eastAsia="宋体" w:cs="宋体"/>
          <w:color w:val="000000"/>
          <w:kern w:val="0"/>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055154"/>
      <w:docPartObj>
        <w:docPartGallery w:val="autotext"/>
      </w:docPartObj>
    </w:sdtPr>
    <w:sdtContent>
      <w:p>
        <w:pPr>
          <w:pStyle w:val="5"/>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448D70"/>
    <w:multiLevelType w:val="singleLevel"/>
    <w:tmpl w:val="39448D7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2NjNmOTlmOTBjZTIxNTcwYjQ1MTJiNTBlNTg0NjIifQ=="/>
  </w:docVars>
  <w:rsids>
    <w:rsidRoot w:val="00D73DAE"/>
    <w:rsid w:val="000054D4"/>
    <w:rsid w:val="00015D55"/>
    <w:rsid w:val="000276B9"/>
    <w:rsid w:val="000336EB"/>
    <w:rsid w:val="00033E93"/>
    <w:rsid w:val="00044B04"/>
    <w:rsid w:val="00045B2B"/>
    <w:rsid w:val="00052AC1"/>
    <w:rsid w:val="0005756C"/>
    <w:rsid w:val="00070A51"/>
    <w:rsid w:val="00072FF7"/>
    <w:rsid w:val="000740FC"/>
    <w:rsid w:val="000816E0"/>
    <w:rsid w:val="000835B0"/>
    <w:rsid w:val="000968E1"/>
    <w:rsid w:val="000A2570"/>
    <w:rsid w:val="000A526D"/>
    <w:rsid w:val="000C36E0"/>
    <w:rsid w:val="000C4973"/>
    <w:rsid w:val="000E4631"/>
    <w:rsid w:val="000E4D1B"/>
    <w:rsid w:val="000F4ACC"/>
    <w:rsid w:val="000F5AEA"/>
    <w:rsid w:val="000F61C1"/>
    <w:rsid w:val="00103FE7"/>
    <w:rsid w:val="00112039"/>
    <w:rsid w:val="001159EE"/>
    <w:rsid w:val="00123AC1"/>
    <w:rsid w:val="00126D04"/>
    <w:rsid w:val="00130F2E"/>
    <w:rsid w:val="00134EAE"/>
    <w:rsid w:val="001623ED"/>
    <w:rsid w:val="001636A9"/>
    <w:rsid w:val="00164FA3"/>
    <w:rsid w:val="00166BDC"/>
    <w:rsid w:val="00175E73"/>
    <w:rsid w:val="001927D6"/>
    <w:rsid w:val="0019645C"/>
    <w:rsid w:val="001A07D0"/>
    <w:rsid w:val="001A2396"/>
    <w:rsid w:val="001A4FD2"/>
    <w:rsid w:val="001B655F"/>
    <w:rsid w:val="001C7D11"/>
    <w:rsid w:val="001C7F73"/>
    <w:rsid w:val="001D0035"/>
    <w:rsid w:val="001E7098"/>
    <w:rsid w:val="001F6D10"/>
    <w:rsid w:val="002070E0"/>
    <w:rsid w:val="00210D18"/>
    <w:rsid w:val="002149B6"/>
    <w:rsid w:val="002175D7"/>
    <w:rsid w:val="002279B4"/>
    <w:rsid w:val="002340B7"/>
    <w:rsid w:val="00236076"/>
    <w:rsid w:val="00254EB8"/>
    <w:rsid w:val="002620FF"/>
    <w:rsid w:val="0027018A"/>
    <w:rsid w:val="0027059A"/>
    <w:rsid w:val="00272806"/>
    <w:rsid w:val="00285285"/>
    <w:rsid w:val="002914F8"/>
    <w:rsid w:val="002A41E2"/>
    <w:rsid w:val="002B0F4F"/>
    <w:rsid w:val="002C3FD3"/>
    <w:rsid w:val="002C4D22"/>
    <w:rsid w:val="002E0E1A"/>
    <w:rsid w:val="002E3C6E"/>
    <w:rsid w:val="002F6E48"/>
    <w:rsid w:val="002F7E2E"/>
    <w:rsid w:val="00331A58"/>
    <w:rsid w:val="00343911"/>
    <w:rsid w:val="0035675F"/>
    <w:rsid w:val="00357A22"/>
    <w:rsid w:val="0036191D"/>
    <w:rsid w:val="00364E0F"/>
    <w:rsid w:val="00372892"/>
    <w:rsid w:val="00382E3B"/>
    <w:rsid w:val="00383AE4"/>
    <w:rsid w:val="00383D63"/>
    <w:rsid w:val="003844B3"/>
    <w:rsid w:val="00387D1B"/>
    <w:rsid w:val="00397D9C"/>
    <w:rsid w:val="003B074C"/>
    <w:rsid w:val="003B5557"/>
    <w:rsid w:val="003B6660"/>
    <w:rsid w:val="003C02A1"/>
    <w:rsid w:val="003C2B2A"/>
    <w:rsid w:val="003C590F"/>
    <w:rsid w:val="003C7641"/>
    <w:rsid w:val="003E3A9B"/>
    <w:rsid w:val="003E48B6"/>
    <w:rsid w:val="00406766"/>
    <w:rsid w:val="00422B89"/>
    <w:rsid w:val="00427640"/>
    <w:rsid w:val="00474F8A"/>
    <w:rsid w:val="00480E31"/>
    <w:rsid w:val="004817A1"/>
    <w:rsid w:val="00487628"/>
    <w:rsid w:val="00496A3E"/>
    <w:rsid w:val="004A78F2"/>
    <w:rsid w:val="004B0410"/>
    <w:rsid w:val="004B198B"/>
    <w:rsid w:val="004B5267"/>
    <w:rsid w:val="004D643C"/>
    <w:rsid w:val="004E5D22"/>
    <w:rsid w:val="004E6196"/>
    <w:rsid w:val="004F6BA1"/>
    <w:rsid w:val="005001FD"/>
    <w:rsid w:val="0050714F"/>
    <w:rsid w:val="00513A0F"/>
    <w:rsid w:val="00525580"/>
    <w:rsid w:val="00526D58"/>
    <w:rsid w:val="00536D59"/>
    <w:rsid w:val="00547FB4"/>
    <w:rsid w:val="005502BA"/>
    <w:rsid w:val="00556215"/>
    <w:rsid w:val="00560922"/>
    <w:rsid w:val="00571F74"/>
    <w:rsid w:val="00573CCC"/>
    <w:rsid w:val="005A34F9"/>
    <w:rsid w:val="005B3552"/>
    <w:rsid w:val="005C0581"/>
    <w:rsid w:val="005D7BB7"/>
    <w:rsid w:val="00601585"/>
    <w:rsid w:val="00610DF2"/>
    <w:rsid w:val="0062149D"/>
    <w:rsid w:val="00624F7E"/>
    <w:rsid w:val="00627D34"/>
    <w:rsid w:val="00632E59"/>
    <w:rsid w:val="00640267"/>
    <w:rsid w:val="006431F8"/>
    <w:rsid w:val="00650F78"/>
    <w:rsid w:val="00652328"/>
    <w:rsid w:val="00655713"/>
    <w:rsid w:val="006601DF"/>
    <w:rsid w:val="006632A0"/>
    <w:rsid w:val="006911E1"/>
    <w:rsid w:val="0069234D"/>
    <w:rsid w:val="006A538F"/>
    <w:rsid w:val="006B32AF"/>
    <w:rsid w:val="006B7DA5"/>
    <w:rsid w:val="006C3CE7"/>
    <w:rsid w:val="006C3D8E"/>
    <w:rsid w:val="00714291"/>
    <w:rsid w:val="007175FA"/>
    <w:rsid w:val="00721AD5"/>
    <w:rsid w:val="0072738D"/>
    <w:rsid w:val="00734974"/>
    <w:rsid w:val="0075273E"/>
    <w:rsid w:val="00755AEE"/>
    <w:rsid w:val="007568A9"/>
    <w:rsid w:val="00767660"/>
    <w:rsid w:val="00774B6E"/>
    <w:rsid w:val="00781724"/>
    <w:rsid w:val="007829C2"/>
    <w:rsid w:val="00783287"/>
    <w:rsid w:val="00793DB4"/>
    <w:rsid w:val="007B019F"/>
    <w:rsid w:val="007F1E61"/>
    <w:rsid w:val="007F6548"/>
    <w:rsid w:val="00801477"/>
    <w:rsid w:val="0080643C"/>
    <w:rsid w:val="00812A82"/>
    <w:rsid w:val="00825D1F"/>
    <w:rsid w:val="0085573C"/>
    <w:rsid w:val="00866D32"/>
    <w:rsid w:val="008758F9"/>
    <w:rsid w:val="00883D48"/>
    <w:rsid w:val="00892388"/>
    <w:rsid w:val="00894676"/>
    <w:rsid w:val="00896AB3"/>
    <w:rsid w:val="008B5FB8"/>
    <w:rsid w:val="008C424B"/>
    <w:rsid w:val="008D0149"/>
    <w:rsid w:val="008D3CDB"/>
    <w:rsid w:val="008E0149"/>
    <w:rsid w:val="008E2DDF"/>
    <w:rsid w:val="008E5648"/>
    <w:rsid w:val="008E67A0"/>
    <w:rsid w:val="008E6908"/>
    <w:rsid w:val="008F1C05"/>
    <w:rsid w:val="0090092A"/>
    <w:rsid w:val="009212C0"/>
    <w:rsid w:val="00924967"/>
    <w:rsid w:val="009429A3"/>
    <w:rsid w:val="00947385"/>
    <w:rsid w:val="009508D1"/>
    <w:rsid w:val="00954CCD"/>
    <w:rsid w:val="00955C33"/>
    <w:rsid w:val="00963586"/>
    <w:rsid w:val="00971EF3"/>
    <w:rsid w:val="0097624E"/>
    <w:rsid w:val="009775E0"/>
    <w:rsid w:val="009849C7"/>
    <w:rsid w:val="00984A43"/>
    <w:rsid w:val="00990709"/>
    <w:rsid w:val="009B3A38"/>
    <w:rsid w:val="009B6588"/>
    <w:rsid w:val="009C52E1"/>
    <w:rsid w:val="009D0674"/>
    <w:rsid w:val="009D2FD5"/>
    <w:rsid w:val="009D5095"/>
    <w:rsid w:val="009D5F69"/>
    <w:rsid w:val="009D75DB"/>
    <w:rsid w:val="009E5B09"/>
    <w:rsid w:val="009F56C3"/>
    <w:rsid w:val="00A16BAE"/>
    <w:rsid w:val="00A23D82"/>
    <w:rsid w:val="00A36640"/>
    <w:rsid w:val="00A407F8"/>
    <w:rsid w:val="00A470FD"/>
    <w:rsid w:val="00A47D50"/>
    <w:rsid w:val="00A51E95"/>
    <w:rsid w:val="00A6489C"/>
    <w:rsid w:val="00A777E0"/>
    <w:rsid w:val="00A80636"/>
    <w:rsid w:val="00A82E23"/>
    <w:rsid w:val="00A83744"/>
    <w:rsid w:val="00A86256"/>
    <w:rsid w:val="00A93758"/>
    <w:rsid w:val="00AA6097"/>
    <w:rsid w:val="00AA70F7"/>
    <w:rsid w:val="00AC022C"/>
    <w:rsid w:val="00AE32BD"/>
    <w:rsid w:val="00AF2495"/>
    <w:rsid w:val="00AF2B19"/>
    <w:rsid w:val="00B00E11"/>
    <w:rsid w:val="00B0172D"/>
    <w:rsid w:val="00B06E85"/>
    <w:rsid w:val="00B15622"/>
    <w:rsid w:val="00B223C1"/>
    <w:rsid w:val="00B30C96"/>
    <w:rsid w:val="00B352D0"/>
    <w:rsid w:val="00B54472"/>
    <w:rsid w:val="00B64C96"/>
    <w:rsid w:val="00B83C10"/>
    <w:rsid w:val="00B8445A"/>
    <w:rsid w:val="00B867B0"/>
    <w:rsid w:val="00B90410"/>
    <w:rsid w:val="00B94EEE"/>
    <w:rsid w:val="00BA2938"/>
    <w:rsid w:val="00BA3853"/>
    <w:rsid w:val="00BB6C30"/>
    <w:rsid w:val="00BB6F0F"/>
    <w:rsid w:val="00BD2326"/>
    <w:rsid w:val="00BD3D5A"/>
    <w:rsid w:val="00BE16DC"/>
    <w:rsid w:val="00BF5CD0"/>
    <w:rsid w:val="00C0668B"/>
    <w:rsid w:val="00C1212B"/>
    <w:rsid w:val="00C43761"/>
    <w:rsid w:val="00C4678C"/>
    <w:rsid w:val="00C50D5F"/>
    <w:rsid w:val="00C52EAA"/>
    <w:rsid w:val="00C55555"/>
    <w:rsid w:val="00C63A04"/>
    <w:rsid w:val="00C655FB"/>
    <w:rsid w:val="00C6761A"/>
    <w:rsid w:val="00CC4959"/>
    <w:rsid w:val="00CE2291"/>
    <w:rsid w:val="00CF28C7"/>
    <w:rsid w:val="00D06F5C"/>
    <w:rsid w:val="00D13333"/>
    <w:rsid w:val="00D17A58"/>
    <w:rsid w:val="00D267A9"/>
    <w:rsid w:val="00D27674"/>
    <w:rsid w:val="00D2798A"/>
    <w:rsid w:val="00D3486D"/>
    <w:rsid w:val="00D466FB"/>
    <w:rsid w:val="00D60112"/>
    <w:rsid w:val="00D73DAE"/>
    <w:rsid w:val="00D81E51"/>
    <w:rsid w:val="00DC42FA"/>
    <w:rsid w:val="00DF0FB3"/>
    <w:rsid w:val="00E01C74"/>
    <w:rsid w:val="00E05A54"/>
    <w:rsid w:val="00E0674C"/>
    <w:rsid w:val="00E06E68"/>
    <w:rsid w:val="00E10BF7"/>
    <w:rsid w:val="00E3067E"/>
    <w:rsid w:val="00E36E66"/>
    <w:rsid w:val="00E45B6B"/>
    <w:rsid w:val="00E45CDA"/>
    <w:rsid w:val="00E71803"/>
    <w:rsid w:val="00E77441"/>
    <w:rsid w:val="00E77806"/>
    <w:rsid w:val="00E808FD"/>
    <w:rsid w:val="00E908FB"/>
    <w:rsid w:val="00E915F7"/>
    <w:rsid w:val="00EA0F52"/>
    <w:rsid w:val="00EA7C83"/>
    <w:rsid w:val="00EB2678"/>
    <w:rsid w:val="00ED0E4F"/>
    <w:rsid w:val="00ED38EB"/>
    <w:rsid w:val="00ED569A"/>
    <w:rsid w:val="00EF36A4"/>
    <w:rsid w:val="00EF52E3"/>
    <w:rsid w:val="00F05B07"/>
    <w:rsid w:val="00F10451"/>
    <w:rsid w:val="00F1065B"/>
    <w:rsid w:val="00F117C3"/>
    <w:rsid w:val="00F127C3"/>
    <w:rsid w:val="00F161EA"/>
    <w:rsid w:val="00F41471"/>
    <w:rsid w:val="00F74A13"/>
    <w:rsid w:val="00F82886"/>
    <w:rsid w:val="00F82EA1"/>
    <w:rsid w:val="00F95018"/>
    <w:rsid w:val="00FC4943"/>
    <w:rsid w:val="00FD01DE"/>
    <w:rsid w:val="00FD4941"/>
    <w:rsid w:val="00FD4F00"/>
    <w:rsid w:val="042042C5"/>
    <w:rsid w:val="073A744C"/>
    <w:rsid w:val="07F67A6F"/>
    <w:rsid w:val="0BD04822"/>
    <w:rsid w:val="0E8813E4"/>
    <w:rsid w:val="0E8A4D70"/>
    <w:rsid w:val="12BB58E4"/>
    <w:rsid w:val="14C36CD2"/>
    <w:rsid w:val="16D52CED"/>
    <w:rsid w:val="174F0CF1"/>
    <w:rsid w:val="1A381F10"/>
    <w:rsid w:val="1EFD54D7"/>
    <w:rsid w:val="208F1248"/>
    <w:rsid w:val="25205A7B"/>
    <w:rsid w:val="284321AC"/>
    <w:rsid w:val="2976035F"/>
    <w:rsid w:val="29A273A6"/>
    <w:rsid w:val="2A68414C"/>
    <w:rsid w:val="2A97058D"/>
    <w:rsid w:val="2B6F150A"/>
    <w:rsid w:val="2C0C6D59"/>
    <w:rsid w:val="322748ED"/>
    <w:rsid w:val="34251D4A"/>
    <w:rsid w:val="375A12C0"/>
    <w:rsid w:val="37FA215C"/>
    <w:rsid w:val="3C8B3CCA"/>
    <w:rsid w:val="3CAB1874"/>
    <w:rsid w:val="3DEB2C72"/>
    <w:rsid w:val="40663A15"/>
    <w:rsid w:val="42772D26"/>
    <w:rsid w:val="42F567E9"/>
    <w:rsid w:val="45124F88"/>
    <w:rsid w:val="45863281"/>
    <w:rsid w:val="45B92B20"/>
    <w:rsid w:val="45C2075D"/>
    <w:rsid w:val="4888393E"/>
    <w:rsid w:val="48A56114"/>
    <w:rsid w:val="4F4E12B3"/>
    <w:rsid w:val="53EB70D0"/>
    <w:rsid w:val="55886BA1"/>
    <w:rsid w:val="58472D43"/>
    <w:rsid w:val="5A625C12"/>
    <w:rsid w:val="5D1A6C78"/>
    <w:rsid w:val="5DC866D4"/>
    <w:rsid w:val="5DF66D9E"/>
    <w:rsid w:val="5F816B3B"/>
    <w:rsid w:val="60087403"/>
    <w:rsid w:val="660F30F2"/>
    <w:rsid w:val="67751E93"/>
    <w:rsid w:val="6A58493C"/>
    <w:rsid w:val="6AA67D9D"/>
    <w:rsid w:val="6E535B46"/>
    <w:rsid w:val="6F1B2B08"/>
    <w:rsid w:val="70732CBF"/>
    <w:rsid w:val="70CC1BE0"/>
    <w:rsid w:val="714B486A"/>
    <w:rsid w:val="74E7348C"/>
    <w:rsid w:val="77F43EF6"/>
    <w:rsid w:val="79553041"/>
    <w:rsid w:val="7F3472CE"/>
    <w:rsid w:val="7F7D0C75"/>
    <w:rsid w:val="7FB16B7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7"/>
    <w:qFormat/>
    <w:uiPriority w:val="0"/>
    <w:pPr>
      <w:widowControl/>
      <w:spacing w:before="340" w:after="160" w:line="480" w:lineRule="exact"/>
      <w:contextualSpacing/>
      <w:jc w:val="center"/>
      <w:outlineLvl w:val="0"/>
    </w:pPr>
    <w:rPr>
      <w:rFonts w:ascii="宋体" w:hAnsi="宋体" w:eastAsia="宋体" w:cs="宋体"/>
      <w:b/>
      <w:bCs/>
      <w:kern w:val="36"/>
      <w:sz w:val="32"/>
      <w:szCs w:val="32"/>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semiHidden/>
    <w:unhideWhenUsed/>
    <w:qFormat/>
    <w:uiPriority w:val="99"/>
    <w:rPr>
      <w:b/>
      <w:bCs/>
    </w:rPr>
  </w:style>
  <w:style w:type="character" w:styleId="10">
    <w:name w:val="annotation reference"/>
    <w:basedOn w:val="9"/>
    <w:semiHidden/>
    <w:unhideWhenUsed/>
    <w:qFormat/>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文字 字符"/>
    <w:basedOn w:val="9"/>
    <w:link w:val="3"/>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character" w:customStyle="1" w:styleId="17">
    <w:name w:val="标题 1 字符"/>
    <w:basedOn w:val="9"/>
    <w:link w:val="2"/>
    <w:qFormat/>
    <w:uiPriority w:val="0"/>
    <w:rPr>
      <w:rFonts w:ascii="宋体" w:hAnsi="宋体" w:eastAsia="宋体" w:cs="宋体"/>
      <w:b/>
      <w:bCs/>
      <w:kern w:val="36"/>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746</Words>
  <Characters>4253</Characters>
  <Lines>35</Lines>
  <Paragraphs>9</Paragraphs>
  <TotalTime>0</TotalTime>
  <ScaleCrop>false</ScaleCrop>
  <LinksUpToDate>false</LinksUpToDate>
  <CharactersWithSpaces>4990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2021-12-22T07:30:00Z</dcterms:created>
  <dc:creator>xiechun</dc:creator>
  <cp:lastModifiedBy>若是少年</cp:lastModifiedBy>
  <dcterms:modified xsi:type="dcterms:W3CDTF">2023-11-07T10:38:24Z</dcterms:modified>
  <cp:revision>183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1EFDFA5A58D248FAAA6E10AA70842876_12</vt:lpwstr>
  </property>
</Properties>
</file>