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240" w:lineRule="auto"/>
        <w:jc w:val="center"/>
        <w:rPr>
          <w:rFonts w:hint="default" w:ascii="Times New Roman" w:hAnsi="Times New Roman" w:eastAsia="仿宋_GB2312" w:cs="Times New Roman"/>
          <w:b/>
          <w:bCs/>
          <w:szCs w:val="21"/>
        </w:rPr>
      </w:pPr>
      <w:r>
        <w:rPr>
          <w:rFonts w:hint="default" w:ascii="Times New Roman" w:hAnsi="Times New Roman" w:eastAsia="仿宋_GB2312" w:cs="Times New Roman"/>
          <w:b/>
          <w:bCs/>
          <w:szCs w:val="21"/>
        </w:rPr>
        <w:t>广东省自学考试《质量管理体系认证》课程考试大纲</w:t>
      </w:r>
    </w:p>
    <w:p>
      <w:pPr>
        <w:spacing w:after="0" w:line="240" w:lineRule="auto"/>
        <w:jc w:val="center"/>
        <w:rPr>
          <w:rFonts w:hint="default" w:ascii="Times New Roman" w:hAnsi="Times New Roman" w:eastAsia="仿宋_GB2312" w:cs="Times New Roman"/>
          <w:b/>
          <w:bCs/>
          <w:szCs w:val="21"/>
        </w:rPr>
      </w:pPr>
      <w:r>
        <w:rPr>
          <w:rFonts w:hint="default" w:ascii="Times New Roman" w:hAnsi="Times New Roman" w:eastAsia="仿宋_GB2312" w:cs="Times New Roman"/>
          <w:b/>
          <w:bCs/>
          <w:szCs w:val="21"/>
        </w:rPr>
        <w:t>（课程代码：01615）</w:t>
      </w:r>
    </w:p>
    <w:p>
      <w:pPr>
        <w:snapToGrid w:val="0"/>
        <w:spacing w:after="0" w:line="240" w:lineRule="auto"/>
        <w:jc w:val="center"/>
        <w:rPr>
          <w:rFonts w:hint="default" w:ascii="Times New Roman" w:hAnsi="Times New Roman" w:eastAsia="仿宋_GB2312" w:cs="Times New Roman"/>
          <w:b/>
          <w:bCs/>
          <w:szCs w:val="21"/>
        </w:rPr>
      </w:pPr>
    </w:p>
    <w:p>
      <w:pPr>
        <w:snapToGrid w:val="0"/>
        <w:spacing w:after="0" w:line="240" w:lineRule="auto"/>
        <w:jc w:val="center"/>
        <w:rPr>
          <w:rFonts w:hint="default" w:ascii="Times New Roman" w:hAnsi="Times New Roman" w:eastAsia="仿宋_GB2312" w:cs="Times New Roman"/>
          <w:b/>
          <w:bCs/>
          <w:szCs w:val="21"/>
        </w:rPr>
      </w:pPr>
      <w:r>
        <w:rPr>
          <w:rFonts w:hint="default" w:ascii="Times New Roman" w:hAnsi="Times New Roman" w:eastAsia="仿宋_GB2312" w:cs="Times New Roman"/>
          <w:b/>
          <w:bCs/>
          <w:szCs w:val="21"/>
        </w:rPr>
        <w:t>目录</w:t>
      </w:r>
    </w:p>
    <w:p>
      <w:pPr>
        <w:snapToGrid w:val="0"/>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Ⅰ  课程性质与课程目标</w:t>
      </w:r>
    </w:p>
    <w:p>
      <w:pPr>
        <w:snapToGrid w:val="0"/>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Ⅱ  考核目标</w:t>
      </w:r>
    </w:p>
    <w:p>
      <w:pPr>
        <w:snapToGrid w:val="0"/>
        <w:spacing w:after="0" w:line="240" w:lineRule="auto"/>
        <w:ind w:firstLine="420" w:firstLineChars="200"/>
        <w:rPr>
          <w:rFonts w:hint="default" w:ascii="Times New Roman" w:hAnsi="Times New Roman" w:eastAsia="仿宋_GB2312" w:cs="Times New Roman"/>
          <w:color w:val="FF0000"/>
          <w:szCs w:val="21"/>
        </w:rPr>
      </w:pPr>
      <w:r>
        <w:rPr>
          <w:rFonts w:hint="default" w:ascii="Times New Roman" w:hAnsi="Times New Roman" w:eastAsia="仿宋_GB2312" w:cs="Times New Roman"/>
          <w:szCs w:val="21"/>
        </w:rPr>
        <w:t>Ⅲ  课程内容与考核要求</w:t>
      </w:r>
    </w:p>
    <w:p>
      <w:pPr>
        <w:snapToGrid w:val="0"/>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Ⅳ  关于大纲的说明与考核实施要求</w:t>
      </w:r>
    </w:p>
    <w:p>
      <w:pPr>
        <w:snapToGrid w:val="0"/>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附录 题型举例</w:t>
      </w:r>
    </w:p>
    <w:p>
      <w:pPr>
        <w:spacing w:after="0" w:line="240" w:lineRule="auto"/>
        <w:ind w:firstLine="420" w:firstLineChars="200"/>
        <w:jc w:val="center"/>
        <w:rPr>
          <w:rFonts w:hint="default" w:ascii="Times New Roman" w:hAnsi="Times New Roman" w:eastAsia="仿宋_GB2312" w:cs="Times New Roman"/>
          <w:szCs w:val="21"/>
        </w:rPr>
      </w:pPr>
    </w:p>
    <w:p>
      <w:pPr>
        <w:spacing w:after="0" w:line="240" w:lineRule="auto"/>
        <w:ind w:firstLine="422" w:firstLineChars="200"/>
        <w:jc w:val="center"/>
        <w:rPr>
          <w:rFonts w:hint="default" w:ascii="Times New Roman" w:hAnsi="Times New Roman" w:eastAsia="仿宋_GB2312" w:cs="Times New Roman"/>
          <w:b/>
          <w:bCs/>
          <w:szCs w:val="21"/>
        </w:rPr>
      </w:pPr>
      <w:r>
        <w:rPr>
          <w:rFonts w:hint="default" w:ascii="Times New Roman" w:hAnsi="Times New Roman" w:eastAsia="仿宋_GB2312" w:cs="Times New Roman"/>
          <w:b/>
          <w:bCs/>
          <w:szCs w:val="21"/>
        </w:rPr>
        <w:t>Ⅰ  课程性质与课程目标</w:t>
      </w:r>
    </w:p>
    <w:p>
      <w:pPr>
        <w:spacing w:after="0" w:line="240" w:lineRule="auto"/>
        <w:ind w:firstLine="422" w:firstLineChars="200"/>
        <w:jc w:val="center"/>
        <w:rPr>
          <w:rFonts w:hint="default" w:ascii="Times New Roman" w:hAnsi="Times New Roman" w:eastAsia="仿宋_GB2312" w:cs="Times New Roman"/>
          <w:b/>
          <w:bCs/>
          <w:szCs w:val="21"/>
        </w:rPr>
      </w:pPr>
    </w:p>
    <w:p>
      <w:pPr>
        <w:numPr>
          <w:ilvl w:val="12"/>
          <w:numId w:val="0"/>
        </w:num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一、课程性质和特点</w:t>
      </w:r>
    </w:p>
    <w:p>
      <w:pPr>
        <w:numPr>
          <w:ilvl w:val="12"/>
          <w:numId w:val="0"/>
        </w:num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《质量管理体系认证》是一门关于管理体系认证及其相关理论与技术的学科。该课程旨在使考生掌握</w:t>
      </w:r>
      <w:bookmarkStart w:id="0" w:name="OLE_LINK3"/>
      <w:r>
        <w:rPr>
          <w:rFonts w:hint="default" w:ascii="Times New Roman" w:hAnsi="Times New Roman" w:eastAsia="仿宋_GB2312" w:cs="Times New Roman"/>
          <w:szCs w:val="21"/>
        </w:rPr>
        <w:t>管理体系认证有关的通用基础理论和知识</w:t>
      </w:r>
      <w:bookmarkEnd w:id="0"/>
      <w:r>
        <w:rPr>
          <w:rFonts w:hint="default" w:ascii="Times New Roman" w:hAnsi="Times New Roman" w:eastAsia="仿宋_GB2312" w:cs="Times New Roman"/>
          <w:szCs w:val="21"/>
        </w:rPr>
        <w:t>，包括管理学基础、管理体系概论、管理体系标准的高层结构、管理体系认证机构管理基础、管理体系认证能力及认证过程、管理体系专项认证技术。</w:t>
      </w:r>
    </w:p>
    <w:p>
      <w:pPr>
        <w:numPr>
          <w:ilvl w:val="12"/>
          <w:numId w:val="0"/>
        </w:num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二、课程目标</w:t>
      </w:r>
    </w:p>
    <w:p>
      <w:pPr>
        <w:numPr>
          <w:ilvl w:val="12"/>
          <w:numId w:val="0"/>
        </w:num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 掌握管理体系认证相关的通用基础理论和知识；</w:t>
      </w:r>
    </w:p>
    <w:p>
      <w:pPr>
        <w:numPr>
          <w:ilvl w:val="12"/>
          <w:numId w:val="0"/>
        </w:num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2. 能够正确运用管理体系认证相关理论与技术方法解决问题；</w:t>
      </w:r>
    </w:p>
    <w:p>
      <w:pPr>
        <w:numPr>
          <w:ilvl w:val="12"/>
          <w:numId w:val="0"/>
        </w:num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3. 能够利用所学理论与方法分析管理体系认证案例；</w:t>
      </w:r>
    </w:p>
    <w:p>
      <w:pPr>
        <w:numPr>
          <w:ilvl w:val="12"/>
          <w:numId w:val="0"/>
        </w:num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4. 了解管理体系认证相关条款和标准，为以后从事认证工作奠定基础；</w:t>
      </w:r>
    </w:p>
    <w:p>
      <w:pPr>
        <w:numPr>
          <w:ilvl w:val="12"/>
          <w:numId w:val="0"/>
        </w:num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5. 培养考生的学习、判断、分析能力以及社会责任感，加强对管理体系认证条款与标准的执行与保障。</w:t>
      </w:r>
    </w:p>
    <w:p>
      <w:pPr>
        <w:spacing w:after="0" w:line="240" w:lineRule="auto"/>
        <w:ind w:firstLine="555"/>
        <w:rPr>
          <w:rFonts w:hint="default" w:ascii="Times New Roman" w:hAnsi="Times New Roman" w:eastAsia="仿宋_GB2312" w:cs="Times New Roman"/>
          <w:szCs w:val="21"/>
        </w:rPr>
      </w:pPr>
      <w:r>
        <w:rPr>
          <w:rFonts w:hint="default" w:ascii="Times New Roman" w:hAnsi="Times New Roman" w:eastAsia="仿宋_GB2312" w:cs="Times New Roman"/>
          <w:szCs w:val="21"/>
        </w:rPr>
        <w:t>三、与相关课程的联系与区别</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本课程包含认证认可领域的通用知识、理论与技术。在特定知识与技能方面，本课程主要是质量管理体系认证领域相关知识与技能，掌握一定的质量管理基础知识能够提高本课程的学习质量。</w:t>
      </w:r>
    </w:p>
    <w:p>
      <w:pPr>
        <w:spacing w:after="0" w:line="240" w:lineRule="auto"/>
        <w:ind w:firstLine="555"/>
        <w:rPr>
          <w:rFonts w:hint="default" w:ascii="Times New Roman" w:hAnsi="Times New Roman" w:eastAsia="仿宋_GB2312" w:cs="Times New Roman"/>
          <w:szCs w:val="21"/>
        </w:rPr>
      </w:pPr>
      <w:r>
        <w:rPr>
          <w:rFonts w:hint="default" w:ascii="Times New Roman" w:hAnsi="Times New Roman" w:eastAsia="仿宋_GB2312" w:cs="Times New Roman"/>
          <w:szCs w:val="21"/>
        </w:rPr>
        <w:t>四、课程的重点和难点</w:t>
      </w:r>
    </w:p>
    <w:p>
      <w:pPr>
        <w:numPr>
          <w:ilvl w:val="12"/>
          <w:numId w:val="0"/>
        </w:num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本大纲将分章节指出学习的重点或难点。其中第四章内容仅要求了解，不计入考试要求。</w:t>
      </w:r>
    </w:p>
    <w:p>
      <w:pPr>
        <w:spacing w:after="0" w:line="240" w:lineRule="auto"/>
        <w:ind w:firstLine="422" w:firstLineChars="200"/>
        <w:jc w:val="center"/>
        <w:rPr>
          <w:rFonts w:hint="default" w:ascii="Times New Roman" w:hAnsi="Times New Roman" w:eastAsia="仿宋_GB2312" w:cs="Times New Roman"/>
          <w:b/>
          <w:bCs/>
          <w:szCs w:val="21"/>
        </w:rPr>
      </w:pPr>
    </w:p>
    <w:p>
      <w:pPr>
        <w:spacing w:after="0" w:line="240" w:lineRule="auto"/>
        <w:ind w:firstLine="422" w:firstLineChars="200"/>
        <w:jc w:val="center"/>
        <w:rPr>
          <w:rFonts w:hint="default" w:ascii="Times New Roman" w:hAnsi="Times New Roman" w:eastAsia="仿宋_GB2312" w:cs="Times New Roman"/>
          <w:b/>
          <w:bCs/>
          <w:szCs w:val="21"/>
        </w:rPr>
      </w:pPr>
      <w:r>
        <w:rPr>
          <w:rFonts w:hint="default" w:ascii="Times New Roman" w:hAnsi="Times New Roman" w:eastAsia="仿宋_GB2312" w:cs="Times New Roman"/>
          <w:b/>
          <w:bCs/>
          <w:szCs w:val="21"/>
        </w:rPr>
        <w:t>Ⅱ  考核目标</w:t>
      </w:r>
    </w:p>
    <w:p>
      <w:pPr>
        <w:spacing w:after="0" w:line="240" w:lineRule="auto"/>
        <w:ind w:firstLine="422" w:firstLineChars="200"/>
        <w:jc w:val="center"/>
        <w:rPr>
          <w:rFonts w:hint="default" w:ascii="Times New Roman" w:hAnsi="Times New Roman" w:eastAsia="仿宋_GB2312" w:cs="Times New Roman"/>
          <w:b/>
          <w:bCs/>
          <w:szCs w:val="21"/>
        </w:rPr>
      </w:pP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本大纲在考核目标中，按照识记、领会、应用三个层次规定其应达到的能力层次要求。三个能力层次是递进关系，各能力层次的含义是：</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 要求考生能够对大纲各章中一些基本概念和知识点进行记忆和理解，</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领会：要求考生能够对大纲中相关的知识点和理论等正确理解，并能够做出正确的表述和解释，能够进行简单分析。</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应用：要求考生在掌握一些重要概念和理论知识的基础上，能够分析和解释相关管理体系认证问题。</w:t>
      </w:r>
    </w:p>
    <w:p>
      <w:pPr>
        <w:spacing w:after="0" w:line="240" w:lineRule="auto"/>
        <w:ind w:firstLine="420" w:firstLineChars="200"/>
        <w:jc w:val="center"/>
        <w:rPr>
          <w:rFonts w:hint="default" w:ascii="Times New Roman" w:hAnsi="Times New Roman" w:eastAsia="仿宋_GB2312" w:cs="Times New Roman"/>
          <w:szCs w:val="21"/>
        </w:rPr>
      </w:pPr>
    </w:p>
    <w:p>
      <w:pPr>
        <w:spacing w:after="0" w:line="240" w:lineRule="auto"/>
        <w:ind w:firstLine="422" w:firstLineChars="200"/>
        <w:jc w:val="center"/>
        <w:rPr>
          <w:rFonts w:hint="default" w:ascii="Times New Roman" w:hAnsi="Times New Roman" w:eastAsia="仿宋_GB2312" w:cs="Times New Roman"/>
          <w:b/>
          <w:bCs/>
          <w:szCs w:val="21"/>
        </w:rPr>
      </w:pPr>
      <w:r>
        <w:rPr>
          <w:rFonts w:hint="default" w:ascii="Times New Roman" w:hAnsi="Times New Roman" w:eastAsia="仿宋_GB2312" w:cs="Times New Roman"/>
          <w:b/>
          <w:bCs/>
          <w:szCs w:val="21"/>
        </w:rPr>
        <w:t>Ⅲ  课程内容与考核要求</w:t>
      </w:r>
    </w:p>
    <w:p>
      <w:pPr>
        <w:spacing w:after="0" w:line="240" w:lineRule="auto"/>
        <w:ind w:firstLine="420" w:firstLineChars="200"/>
        <w:jc w:val="center"/>
        <w:rPr>
          <w:rFonts w:hint="default" w:ascii="Times New Roman" w:hAnsi="Times New Roman" w:eastAsia="仿宋_GB2312" w:cs="Times New Roman"/>
          <w:szCs w:val="21"/>
        </w:rPr>
      </w:pPr>
    </w:p>
    <w:p>
      <w:pPr>
        <w:spacing w:after="0" w:line="240" w:lineRule="auto"/>
        <w:ind w:firstLine="420" w:firstLineChars="20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第一章 管理学基础</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本章主要是为以后各章的学习奠定理论基础，考生应掌握管理的内涵、管理思想和管理理论的演进以及管理学基本原理。</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1.1 管理的内涵</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1.2 管理思想与管理理论的演进</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1.3 管理学基本原理</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三、考核知识点与考核要求</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（一）管理的内涵</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识记：管理的基本概念、职能、性质和层级</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（二）管理思想与管理理论的演进</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识记：泰勒的科学管理理论，法约尔的组织管理理论的主要内容，马斯洛需求层次理论的主要论点</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领会：古代中西方的管理思想 ，现代管理理论丛林和当代管理理论新发展两个阶段的主要管理理论。</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（三）管理学基本原理</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识记：管理学七大基本原理</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四、本章重点、难点</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本章的重点在于掌握管理的基本概念、职能、管理学七大基本原理，理解几项重要的管理理论。</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本章的难点在于领会不同的管理理论的思想。</w:t>
      </w:r>
    </w:p>
    <w:p>
      <w:pPr>
        <w:spacing w:after="0" w:line="240" w:lineRule="auto"/>
        <w:ind w:firstLine="420" w:firstLineChars="200"/>
        <w:rPr>
          <w:rFonts w:hint="default" w:ascii="Times New Roman" w:hAnsi="Times New Roman" w:eastAsia="仿宋_GB2312" w:cs="Times New Roman"/>
          <w:szCs w:val="21"/>
        </w:rPr>
      </w:pPr>
    </w:p>
    <w:p>
      <w:pPr>
        <w:spacing w:after="0" w:line="240" w:lineRule="auto"/>
        <w:ind w:firstLine="420" w:firstLineChars="20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第二章 管理体系概论</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本章主要是管理体系的相关内容。通过本章的学习，学生应掌握管理体系的起源与发展、管理体系核心理念的内涵、核心术语及其定义以及管理体系实现过程。</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2.1 管理体系起源和发展</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2.2 管理体系核心理念</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2.3 管理体系通用术语</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2.4 管理体系实现过程</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三、考核知识点与考核要求</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（一）管理体系起源和发展</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 管理体系的起源和各发展阶段的特点</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（二）管理体系核心理念</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识记：过程、过程方法、PDCA循环的概念。</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领会：管理体系核心理念的内容，过程方法的具体要求，PDCA模型，PDCA的特点</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（三）管理体系通用术语</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识记：管理体系核心术语、常用术语及其含义，管理体系审核的主要术语、管理体系认证认可的主要术语。</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（四）管理体系实现过程</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领会：管理体系建立的主要步骤，管理体系绩效评价方法，管理体系的持续改进途径。</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四、本章重点、难点</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本章的重点在于管理体系的起源和发展过程，管理体系核心术语和常用术语及其定义，管理体系建立的主要步骤、绩效评价方法和持续改进途径。</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本章的难点在于理解管理体系的每个核心理念的主要内容。</w:t>
      </w:r>
    </w:p>
    <w:p>
      <w:pPr>
        <w:spacing w:after="0" w:line="240" w:lineRule="auto"/>
        <w:ind w:firstLine="420" w:firstLineChars="200"/>
        <w:rPr>
          <w:rFonts w:hint="default" w:ascii="Times New Roman" w:hAnsi="Times New Roman" w:eastAsia="仿宋_GB2312" w:cs="Times New Roman"/>
          <w:szCs w:val="21"/>
        </w:rPr>
      </w:pPr>
    </w:p>
    <w:p>
      <w:pPr>
        <w:spacing w:after="0" w:line="240" w:lineRule="auto"/>
        <w:ind w:firstLine="420" w:firstLineChars="20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第三章 管理体系标准的高层结构</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本章学习目的与要求是掌握高层结构的理论基础、高层结构核心条款的原理及内涵。</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3.1 高层结构理论基础</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3.2 组织环境</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3.3 领导作用</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3.4 策划</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3.5 支持</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3.6 运行</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3.7 绩效评价</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3.8 改进</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三、考核知识点与考核要求</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（一）高层结构理论基础</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识记：高层结构的作用、核心内容、框架和管理思维</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（二）组织环境</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识记：四个条款的原理和内涵</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（三）领导作用</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识记：三个条款的原理和内涵</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（四）策划</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识记：两个条款的原理和内涵</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（五）支持</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识记：五个二级条款的原理和内涵</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（六）运行</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识记：条款的原理和内涵</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（七）绩效评价</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识记：三个二级条款的原理和内涵</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（八）改进</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识记：两个二级条款的原理和内涵</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四、本章重点、难点</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本章的重点是掌握高层结构的作用、核心内容、框架和管理思维，各条款的原理。</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本章的难点在于理解高层结构各条款的内涵。</w:t>
      </w:r>
    </w:p>
    <w:p>
      <w:pPr>
        <w:spacing w:after="0" w:line="240" w:lineRule="auto"/>
        <w:ind w:firstLine="420" w:firstLineChars="200"/>
        <w:rPr>
          <w:rFonts w:hint="default" w:ascii="Times New Roman" w:hAnsi="Times New Roman" w:eastAsia="仿宋_GB2312" w:cs="Times New Roman"/>
          <w:szCs w:val="21"/>
        </w:rPr>
      </w:pPr>
    </w:p>
    <w:p>
      <w:pPr>
        <w:spacing w:after="0" w:line="240" w:lineRule="auto"/>
        <w:ind w:firstLine="420" w:firstLineChars="20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第四章 特定管理体系特征及原理</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本章学习目的与要求是了解质量管理体系、环境管理体系、职业健康安全管理体系、食品安全管理体系、能源管理体系、信息安全管理体系以及其他管理体系的特征及原理。</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4.1 质量管理体系</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4.2 环境管理体系</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4.3 职业健康安全管理体系</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4.4 食品安全管理体系标准</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4.5 能源管理体系</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4.6 信息安全管理体系</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4.7 其他管理体系</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三、考核知识点与考核要求</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本章不作为考核目标。</w:t>
      </w:r>
    </w:p>
    <w:p>
      <w:pPr>
        <w:spacing w:after="0" w:line="240" w:lineRule="auto"/>
        <w:ind w:firstLine="420" w:firstLineChars="200"/>
        <w:rPr>
          <w:rFonts w:hint="default" w:ascii="Times New Roman" w:hAnsi="Times New Roman" w:eastAsia="仿宋_GB2312" w:cs="Times New Roman"/>
          <w:szCs w:val="21"/>
        </w:rPr>
      </w:pPr>
    </w:p>
    <w:p>
      <w:pPr>
        <w:spacing w:after="0" w:line="240" w:lineRule="auto"/>
        <w:ind w:firstLine="420" w:firstLineChars="20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第五章 管理体系认证机构管理基础</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本章学习目的与要求是掌握管理体系认证机构的概念、特征、管理体系和管理实践。</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5.1 管理体系认证机构概念</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5.2 管理体系认证机构的特征</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5.3认证机构的管理体系</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5.4 认证机构对过程思维的应用</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三、考核知识点与考核要求</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（一）管理体系认证机构概念</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识记：认证机构、管理体系认证机构、审核机构、管理体系审核机构的概念/定义</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 管理体系认证机构与管理体系审核机构的区别</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（二）管理体系认证机构的特征</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识记：管理体系认证机构的主要特征</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领会：管理体系认证机构的公正性，认证中的公开信息与保密信息，管理体系中的认可和国际互认的内涵。</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（三）认证机构的管理体系</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领会：认证机构管理体系认证过程管理涉及的内容</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（四）认证机构对过程思维的应用</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应用：理解过程思维在认证机构中的应用思路 </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四、本章重点、难点</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本章的重点是掌握认证机构、管理体系认证机构、审核机构、管理体系审核机构的定义，管理体系认证机构的主要特征。</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本章的难点是理解管理体系认证机构与管理体系审核机构的区别，理解管理体系认证机构的公正性，区分认证中的公开信息与保密信息。</w:t>
      </w:r>
    </w:p>
    <w:p>
      <w:pPr>
        <w:spacing w:after="0" w:line="240" w:lineRule="auto"/>
        <w:ind w:firstLine="420" w:firstLineChars="200"/>
        <w:rPr>
          <w:rFonts w:hint="default" w:ascii="Times New Roman" w:hAnsi="Times New Roman" w:eastAsia="仿宋_GB2312" w:cs="Times New Roman"/>
          <w:szCs w:val="21"/>
        </w:rPr>
      </w:pPr>
    </w:p>
    <w:p>
      <w:pPr>
        <w:spacing w:after="0" w:line="240" w:lineRule="auto"/>
        <w:ind w:firstLine="420" w:firstLineChars="20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第六章 管理体系认证能力及认证过程</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本章学习目的与要求是掌握管理体系的认证业务范围、认证人员通用能力要求和特定能力要求，认证人员能力评价以及认证过程管理。</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6.1 管理体系认证业务范围及技术领域分析</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6.2 管理体系认证人员通用能力要求</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6.3 特定管理体系认证人员能力要求</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6.4 认证人员能力评价</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6.5 管理体系认证过程</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三、考核知识点与考核要求</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（一）管理体系认证业务范围及技术领域分析</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识记：管理体系认证业务范围，技术领域分析的定义及目的  </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（二）管理体系认证人员通用能力要求</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识记：管理体系通用认证职能</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应用：了解管理体系审核员的能力要求，不同认证职能对知识和技能的通用要求</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（三）特定管理体系认证人员能力要求</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领会：理解特定管理体系应具备的知识</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（四）认证人员能力评价</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识记：对认证人员的主要评价方法</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（五）管理体系认证过程</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识记：管理体系认证的主要过程</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应用：理解初次认证策划和审核实施的主要内容</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四、本章重点、难点</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本章的重点在于掌握管理体系认证业务范围、通用认证职能、对认证人员的主要评价方法</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本章的难点在于理解不同认证职能对知识和技能的通用要求、特定管理体系应具备的知识。</w:t>
      </w:r>
    </w:p>
    <w:p>
      <w:pPr>
        <w:spacing w:after="0" w:line="240" w:lineRule="auto"/>
        <w:ind w:firstLine="420" w:firstLineChars="200"/>
        <w:rPr>
          <w:rFonts w:hint="default" w:ascii="Times New Roman" w:hAnsi="Times New Roman" w:eastAsia="仿宋_GB2312" w:cs="Times New Roman"/>
          <w:szCs w:val="21"/>
        </w:rPr>
      </w:pPr>
    </w:p>
    <w:p>
      <w:pPr>
        <w:spacing w:after="0" w:line="240" w:lineRule="auto"/>
        <w:ind w:firstLine="420" w:firstLineChars="20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第七章 管理体系专项认证技术</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学习目的与要求是掌握审核方案的管理方法、认证范围和审核范围的确定方法、审核时间的确定方法、多场所审核与认证方法、结合审核应用方法、基于过程的质量管理体系审核方法，能够理解并应用各专项认证技术。</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7.1 审核方案管理在认证过程中的应用</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7.2 认证范围与审核范围确定方法</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7.3 审核时间的确定方法</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7.4 多场所审核与认证方法</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7.5 管理体系认证结合审核应用方法</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7.6 基于过程的质量管理体系审核方法</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三、考核知识点与考核要求</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（一）审核方案管理在认证过程中的应用</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识记：审核方案的概念</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领会：审核方案的建立、实施、评价与改进的管理方法 </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（二）认证范围与审核范围确定方法</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领会：认证范围与审核范围的内容及区别与联系</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（三）审核时间的确定方法</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识记：审核时间、审核人日、有效人数的含义</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领会：审核时间的确定方法 </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（四）多场所审核与认证方法</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识记：中心职能、虚拟场所、常设场所、临时场所、多场所组织、子范围的概念</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领会：理解多场所组织认证的条件</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应用：多场所组织的抽样审核</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（五）管理体系认证结合审核应用方法</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识记：结合审核、一体化审核的概念</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应用：结合审核的应用方法</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（六）基于过程的质量管理体系审核方法</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识记：过程审核的特征</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领会：基于过程的QMS审核的具体体现以及益处</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四、本章重点、难点</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本章的重点是理解认证范围与审核范围的内容及区别与联系、理解多场所组织认证的条件、过程审核的特征。</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本章的难点是掌握审核时间的确定方法、审核方案的管理方法、多场所组织的抽样审核、结合审核的应用方法。</w:t>
      </w:r>
    </w:p>
    <w:p>
      <w:pPr>
        <w:spacing w:after="0" w:line="240" w:lineRule="auto"/>
        <w:ind w:firstLine="422" w:firstLineChars="200"/>
        <w:jc w:val="center"/>
        <w:rPr>
          <w:rFonts w:hint="default" w:ascii="Times New Roman" w:hAnsi="Times New Roman" w:eastAsia="仿宋_GB2312" w:cs="Times New Roman"/>
          <w:b/>
          <w:bCs/>
          <w:szCs w:val="21"/>
        </w:rPr>
      </w:pPr>
    </w:p>
    <w:p>
      <w:pPr>
        <w:spacing w:after="0" w:line="240" w:lineRule="auto"/>
        <w:ind w:firstLine="422" w:firstLineChars="200"/>
        <w:jc w:val="center"/>
        <w:rPr>
          <w:rFonts w:hint="default" w:ascii="Times New Roman" w:hAnsi="Times New Roman" w:eastAsia="仿宋_GB2312" w:cs="Times New Roman"/>
          <w:b/>
          <w:bCs/>
          <w:szCs w:val="21"/>
        </w:rPr>
      </w:pPr>
      <w:r>
        <w:rPr>
          <w:rFonts w:hint="default" w:ascii="Times New Roman" w:hAnsi="Times New Roman" w:eastAsia="仿宋_GB2312" w:cs="Times New Roman"/>
          <w:b/>
          <w:bCs/>
          <w:szCs w:val="21"/>
        </w:rPr>
        <w:t>Ⅳ  关于大纲的说明与考核实施要求</w:t>
      </w:r>
    </w:p>
    <w:p>
      <w:pPr>
        <w:spacing w:after="0" w:line="240" w:lineRule="auto"/>
        <w:ind w:firstLine="422" w:firstLineChars="200"/>
        <w:jc w:val="center"/>
        <w:rPr>
          <w:rFonts w:hint="default" w:ascii="Times New Roman" w:hAnsi="Times New Roman" w:eastAsia="仿宋_GB2312" w:cs="Times New Roman"/>
          <w:b/>
          <w:bCs/>
          <w:szCs w:val="21"/>
        </w:rPr>
      </w:pPr>
    </w:p>
    <w:p>
      <w:pPr>
        <w:adjustRightInd w:val="0"/>
        <w:spacing w:after="0" w:line="240" w:lineRule="auto"/>
        <w:ind w:firstLine="420" w:firstLineChars="200"/>
        <w:textAlignment w:val="baseline"/>
        <w:rPr>
          <w:rFonts w:hint="default" w:ascii="Times New Roman" w:hAnsi="Times New Roman" w:eastAsia="仿宋_GB2312" w:cs="Times New Roman"/>
          <w:szCs w:val="21"/>
        </w:rPr>
      </w:pPr>
      <w:r>
        <w:rPr>
          <w:rFonts w:hint="default" w:ascii="Times New Roman" w:hAnsi="Times New Roman" w:eastAsia="仿宋_GB2312" w:cs="Times New Roman"/>
          <w:szCs w:val="21"/>
        </w:rPr>
        <w:t>一、自学考试大纲的目的和作用</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课程自学考试大纲是根据专业自学考试计划的要求，结合自学考试的特点而确定。其目的是对个人自学、社会助学和课程考试命题进行指导和规定。</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课程自学考试大纲明确了课程学习的内容以及深广度，规定了课程自学考试的范围和标准。因此，它是编写自学考试教材和辅导书的依据，是社会助学组织进行自学辅导的依据，是自学者学习教材、掌握课程内容知识范围和程度的依据，也是进行自学考试命题的依据。</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二、课程自学考试大纲与教材的关系</w:t>
      </w:r>
    </w:p>
    <w:p>
      <w:pPr>
        <w:numPr>
          <w:ilvl w:val="12"/>
          <w:numId w:val="0"/>
        </w:num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课程自学考试大纲是进行学习和考核的依据，教材是学习掌握课程知识的基本内容与范围，教材的内容是大纲所规定的课程知识和内容的扩展与发挥。课程内容在教材中可以体现一定的深度或难度，但在大纲中对考核的要求一定要适当。</w:t>
      </w:r>
    </w:p>
    <w:p>
      <w:pPr>
        <w:numPr>
          <w:ilvl w:val="12"/>
          <w:numId w:val="0"/>
        </w:num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大纲与教材所体现的课程内容应基本一致；大纲里面的课程内容和考核知识点，教材里一般也要有。反过来教材里有的内容，大纲里就不一定体现。</w:t>
      </w:r>
    </w:p>
    <w:p>
      <w:pPr>
        <w:numPr>
          <w:ilvl w:val="12"/>
          <w:numId w:val="0"/>
        </w:numPr>
        <w:spacing w:after="0" w:line="240" w:lineRule="auto"/>
        <w:ind w:firstLine="420" w:firstLineChars="200"/>
        <w:rPr>
          <w:rFonts w:hint="default" w:ascii="Times New Roman" w:hAnsi="Times New Roman" w:eastAsia="仿宋_GB2312" w:cs="Times New Roman"/>
          <w:szCs w:val="21"/>
          <w:lang w:val="en-GB"/>
        </w:rPr>
      </w:pPr>
      <w:r>
        <w:rPr>
          <w:rFonts w:hint="default" w:ascii="Times New Roman" w:hAnsi="Times New Roman" w:eastAsia="仿宋_GB2312" w:cs="Times New Roman"/>
          <w:szCs w:val="21"/>
        </w:rPr>
        <w:t>三、关于自学教材</w:t>
      </w:r>
    </w:p>
    <w:p>
      <w:pPr>
        <w:numPr>
          <w:ilvl w:val="12"/>
          <w:numId w:val="0"/>
        </w:num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《管理体系认证基础》，中国认证认可协会 组编，高等教育出版社，2019年版。</w:t>
      </w:r>
    </w:p>
    <w:p>
      <w:pPr>
        <w:numPr>
          <w:ilvl w:val="12"/>
          <w:numId w:val="0"/>
        </w:num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四、关于自学要求和自学方法的指导</w:t>
      </w:r>
    </w:p>
    <w:p>
      <w:pPr>
        <w:numPr>
          <w:ilvl w:val="12"/>
          <w:numId w:val="0"/>
        </w:num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大纲的课程基本要求是依据专业考试计划和专业培养目标而确定的。课程基本要求还明确了课程的基本内容，以及对基本内容掌握的程度。基本要求中的知识点构成了课程内容的主体部分。因此，课程基本内容掌握程度、课程考核知识点是高等教育自学考试考核的主要内容。</w:t>
      </w:r>
    </w:p>
    <w:p>
      <w:pPr>
        <w:numPr>
          <w:ilvl w:val="12"/>
          <w:numId w:val="0"/>
        </w:num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为有效地指导个人自学和社会助学，本大纲已指明了课程的重点和难点，在章节的基本要求中一般也指明了章节内容的重点和难点。</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（一）系统学习、深入重点</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自学者首先应系统地学习各章内容，掌握要求识记的概念，深入理解和掌握基本理论和基本方法，在此基础上深入知识点，掌握重点。</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（二）科学学习方法，明确相关概念、方法之间的关系</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考试前梳理已经学习过的内容，搞清楚一些基本概念、理论及方法之间的关系，便于记忆、加深理解。</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（三）注意理论与实践相结合，加深理解</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考生在学习过程中，要注重理论与实践的结合，注重教材内容与实际情况相联系以加深理解，既要多学习也要多思考，以提高分析问题和解决问题的能力，使得自学者做到学以致用。</w:t>
      </w:r>
    </w:p>
    <w:p>
      <w:pPr>
        <w:numPr>
          <w:ilvl w:val="12"/>
          <w:numId w:val="0"/>
        </w:num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五、对社会助学的要求</w:t>
      </w:r>
    </w:p>
    <w:p>
      <w:pPr>
        <w:snapToGrid w:val="0"/>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 认真钻研指定教材，把握社会助学的正确导向</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社会助学者应根据大纲规定的考试内容和考核目标，认真钻研指定教材，明确本课程与其他课程不同的特点和学习要求，对自学应考者进行切实有效的指导，防止考生自学中出现的各种偏向，把握社会助学的正确导向。</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2. 帮助自学者梳理重点、难点、各章节内容之间的关系，合理分配各部分内容的助学学时。</w:t>
      </w:r>
    </w:p>
    <w:p>
      <w:pPr>
        <w:numPr>
          <w:ilvl w:val="12"/>
          <w:numId w:val="0"/>
        </w:num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六、对考核内容的说明</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 本课程要求考生学习和掌握的知识点内容都作为考核的内容。课程中各章的内容均由若干知识点组成，在自学考试中成为考核知识点。因此，课程自学考试大纲中所规定的考试内容是以分解为考核知识点的方式给出的。由于各知识点在课程中的地位、作用以及知识自身的特点不同，自学考试将对各知识点分别按三个认知（或叫能力）层次确定其考核要求。</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2. 在考试之日起6个月前，由全国人民代表大会和国务院颁布或修订的法律、法规都将列入相应课程的考试范围。凡大纲、教材内容与现行法律、法规不符的，应以现行法律法规为准。命题时也会对我国经济建设和科技文化发展的重大方针政策的变化予以体现。</w:t>
      </w:r>
    </w:p>
    <w:p>
      <w:pPr>
        <w:numPr>
          <w:ilvl w:val="12"/>
          <w:numId w:val="0"/>
        </w:num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七、关于考试命题的若干规定</w:t>
      </w:r>
    </w:p>
    <w:p>
      <w:pPr>
        <w:numPr>
          <w:ilvl w:val="12"/>
          <w:numId w:val="0"/>
        </w:num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1、本课程考试为闭卷笔试，考试时间150分钟，满分100分，60分及格。</w:t>
      </w:r>
    </w:p>
    <w:p>
      <w:pPr>
        <w:numPr>
          <w:ilvl w:val="12"/>
          <w:numId w:val="0"/>
        </w:num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2、本大纲各章所规定的基本要求、知识点及知识点下的知识细目，都属于考核的内容。考试命题既要覆盖到章，又要避免面面俱到。要注意突出课程的重点、章节重点，加大重点内容的覆盖度。</w:t>
      </w:r>
    </w:p>
    <w:p>
      <w:pPr>
        <w:numPr>
          <w:ilvl w:val="12"/>
          <w:numId w:val="0"/>
        </w:num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3、命题不应有超出大纲中考核知识点范围的题，考核目标不得高于大纲中所规定的相应的最高能力层次要求。命题应着重考核自学者对基本概念、基本知识和基本理论是否了解或掌握，对基本方法是否会用或熟练。不应出与基本要求不符的偏题或怪题。</w:t>
      </w:r>
    </w:p>
    <w:p>
      <w:pPr>
        <w:numPr>
          <w:ilvl w:val="12"/>
          <w:numId w:val="0"/>
        </w:num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4、本课程在试卷中对不同能力层次要求的分数比例大致为：识记占30%，领会占40%，应用占30%。</w:t>
      </w:r>
    </w:p>
    <w:p>
      <w:pPr>
        <w:numPr>
          <w:ilvl w:val="12"/>
          <w:numId w:val="0"/>
        </w:num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5、要合理安排试题的难易程度，试题的难度可分为：易、较易、较难和难四个等级。每份试卷中不同难度试题的分数比例一般为：2:3:3:2。</w:t>
      </w:r>
    </w:p>
    <w:p>
      <w:pPr>
        <w:spacing w:after="0" w:line="240" w:lineRule="auto"/>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6、各种题型的具体样式参见本大纲附录。</w:t>
      </w:r>
    </w:p>
    <w:p>
      <w:pPr>
        <w:spacing w:after="0" w:line="240" w:lineRule="auto"/>
        <w:ind w:firstLine="422" w:firstLineChars="200"/>
        <w:rPr>
          <w:rFonts w:hint="default" w:ascii="Times New Roman" w:hAnsi="Times New Roman" w:eastAsia="仿宋_GB2312" w:cs="Times New Roman"/>
          <w:b/>
          <w:bCs/>
          <w:szCs w:val="21"/>
        </w:rPr>
      </w:pPr>
    </w:p>
    <w:p>
      <w:pPr>
        <w:spacing w:after="0" w:line="240" w:lineRule="auto"/>
        <w:ind w:firstLine="422" w:firstLineChars="200"/>
        <w:jc w:val="center"/>
        <w:rPr>
          <w:rFonts w:hint="default" w:ascii="Times New Roman" w:hAnsi="Times New Roman" w:eastAsia="仿宋_GB2312" w:cs="Times New Roman"/>
          <w:b/>
          <w:bCs/>
          <w:szCs w:val="21"/>
        </w:rPr>
      </w:pPr>
      <w:r>
        <w:rPr>
          <w:rFonts w:hint="default" w:ascii="Times New Roman" w:hAnsi="Times New Roman" w:eastAsia="仿宋_GB2312" w:cs="Times New Roman"/>
          <w:b/>
          <w:bCs/>
          <w:szCs w:val="21"/>
        </w:rPr>
        <w:t>附录 题型举例</w:t>
      </w:r>
    </w:p>
    <w:p>
      <w:pPr>
        <w:spacing w:after="0" w:line="240" w:lineRule="auto"/>
        <w:ind w:firstLine="422" w:firstLineChars="200"/>
        <w:jc w:val="center"/>
        <w:rPr>
          <w:rFonts w:hint="default" w:ascii="Times New Roman" w:hAnsi="Times New Roman" w:eastAsia="仿宋_GB2312" w:cs="Times New Roman"/>
          <w:b/>
          <w:bCs/>
          <w:szCs w:val="21"/>
        </w:rPr>
      </w:pPr>
    </w:p>
    <w:p>
      <w:pPr>
        <w:pStyle w:val="14"/>
        <w:numPr>
          <w:ilvl w:val="0"/>
          <w:numId w:val="1"/>
        </w:numPr>
        <w:spacing w:after="0" w:line="240" w:lineRule="auto"/>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填空题：</w:t>
      </w:r>
    </w:p>
    <w:p>
      <w:pPr>
        <w:pStyle w:val="14"/>
        <w:numPr>
          <w:ilvl w:val="0"/>
          <w:numId w:val="2"/>
        </w:numPr>
        <w:spacing w:after="0" w:line="240" w:lineRule="auto"/>
        <w:ind w:firstLineChars="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管理的基本职能：</w:t>
      </w:r>
      <w:r>
        <w:rPr>
          <w:rFonts w:hint="default" w:ascii="Times New Roman" w:hAnsi="Times New Roman" w:eastAsia="仿宋_GB2312" w:cs="Times New Roman"/>
          <w:szCs w:val="21"/>
          <w:u w:val="single"/>
        </w:rPr>
        <w:t xml:space="preserve">        </w:t>
      </w:r>
      <w:r>
        <w:rPr>
          <w:rFonts w:hint="default" w:ascii="Times New Roman" w:hAnsi="Times New Roman" w:eastAsia="仿宋_GB2312" w:cs="Times New Roman"/>
          <w:szCs w:val="21"/>
        </w:rPr>
        <w:t>、</w:t>
      </w:r>
      <w:r>
        <w:rPr>
          <w:rFonts w:hint="default" w:ascii="Times New Roman" w:hAnsi="Times New Roman" w:eastAsia="仿宋_GB2312" w:cs="Times New Roman"/>
          <w:szCs w:val="21"/>
          <w:u w:val="single"/>
        </w:rPr>
        <w:t xml:space="preserve">        </w:t>
      </w:r>
      <w:r>
        <w:rPr>
          <w:rFonts w:hint="default" w:ascii="Times New Roman" w:hAnsi="Times New Roman" w:eastAsia="仿宋_GB2312" w:cs="Times New Roman"/>
          <w:szCs w:val="21"/>
        </w:rPr>
        <w:t>、</w:t>
      </w:r>
      <w:r>
        <w:rPr>
          <w:rFonts w:hint="default" w:ascii="Times New Roman" w:hAnsi="Times New Roman" w:eastAsia="仿宋_GB2312" w:cs="Times New Roman"/>
          <w:szCs w:val="21"/>
          <w:u w:val="single"/>
        </w:rPr>
        <w:t xml:space="preserve">        </w:t>
      </w:r>
      <w:r>
        <w:rPr>
          <w:rFonts w:hint="default" w:ascii="Times New Roman" w:hAnsi="Times New Roman" w:eastAsia="仿宋_GB2312" w:cs="Times New Roman"/>
          <w:szCs w:val="21"/>
        </w:rPr>
        <w:t>、</w:t>
      </w:r>
      <w:r>
        <w:rPr>
          <w:rFonts w:hint="default" w:ascii="Times New Roman" w:hAnsi="Times New Roman" w:eastAsia="仿宋_GB2312" w:cs="Times New Roman"/>
          <w:szCs w:val="21"/>
          <w:u w:val="single"/>
        </w:rPr>
        <w:t xml:space="preserve">        </w:t>
      </w:r>
      <w:r>
        <w:rPr>
          <w:rFonts w:hint="default" w:ascii="Times New Roman" w:hAnsi="Times New Roman" w:eastAsia="仿宋_GB2312" w:cs="Times New Roman"/>
          <w:szCs w:val="21"/>
        </w:rPr>
        <w:t>。</w:t>
      </w:r>
    </w:p>
    <w:p>
      <w:pPr>
        <w:pStyle w:val="14"/>
        <w:numPr>
          <w:ilvl w:val="0"/>
          <w:numId w:val="2"/>
        </w:numPr>
        <w:spacing w:after="0" w:line="240" w:lineRule="auto"/>
        <w:ind w:firstLineChars="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PDCA循环将管理过程分为四个阶段：</w:t>
      </w:r>
      <w:r>
        <w:rPr>
          <w:rFonts w:hint="default" w:ascii="Times New Roman" w:hAnsi="Times New Roman" w:eastAsia="仿宋_GB2312" w:cs="Times New Roman"/>
          <w:szCs w:val="21"/>
          <w:u w:val="single"/>
        </w:rPr>
        <w:t xml:space="preserve">        </w:t>
      </w:r>
      <w:r>
        <w:rPr>
          <w:rFonts w:hint="default" w:ascii="Times New Roman" w:hAnsi="Times New Roman" w:eastAsia="仿宋_GB2312" w:cs="Times New Roman"/>
          <w:szCs w:val="21"/>
        </w:rPr>
        <w:t>、</w:t>
      </w:r>
      <w:r>
        <w:rPr>
          <w:rFonts w:hint="default" w:ascii="Times New Roman" w:hAnsi="Times New Roman" w:eastAsia="仿宋_GB2312" w:cs="Times New Roman"/>
          <w:szCs w:val="21"/>
          <w:u w:val="single"/>
        </w:rPr>
        <w:t xml:space="preserve">        </w:t>
      </w:r>
      <w:r>
        <w:rPr>
          <w:rFonts w:hint="default" w:ascii="Times New Roman" w:hAnsi="Times New Roman" w:eastAsia="仿宋_GB2312" w:cs="Times New Roman"/>
          <w:szCs w:val="21"/>
        </w:rPr>
        <w:t>、</w:t>
      </w:r>
      <w:r>
        <w:rPr>
          <w:rFonts w:hint="default" w:ascii="Times New Roman" w:hAnsi="Times New Roman" w:eastAsia="仿宋_GB2312" w:cs="Times New Roman"/>
          <w:szCs w:val="21"/>
          <w:u w:val="single"/>
        </w:rPr>
        <w:t xml:space="preserve">       </w:t>
      </w:r>
      <w:r>
        <w:rPr>
          <w:rFonts w:hint="default" w:ascii="Times New Roman" w:hAnsi="Times New Roman" w:eastAsia="仿宋_GB2312" w:cs="Times New Roman"/>
          <w:szCs w:val="21"/>
        </w:rPr>
        <w:t>、</w:t>
      </w:r>
      <w:r>
        <w:rPr>
          <w:rFonts w:hint="default" w:ascii="Times New Roman" w:hAnsi="Times New Roman" w:eastAsia="仿宋_GB2312" w:cs="Times New Roman"/>
          <w:szCs w:val="21"/>
          <w:u w:val="single"/>
        </w:rPr>
        <w:t xml:space="preserve">        </w:t>
      </w:r>
      <w:r>
        <w:rPr>
          <w:rFonts w:hint="default" w:ascii="Times New Roman" w:hAnsi="Times New Roman" w:eastAsia="仿宋_GB2312" w:cs="Times New Roman"/>
          <w:szCs w:val="21"/>
        </w:rPr>
        <w:t>。</w:t>
      </w:r>
    </w:p>
    <w:p>
      <w:pPr>
        <w:pStyle w:val="14"/>
        <w:numPr>
          <w:ilvl w:val="0"/>
          <w:numId w:val="1"/>
        </w:numPr>
        <w:spacing w:after="0" w:line="240" w:lineRule="auto"/>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名词解释：  </w:t>
      </w:r>
    </w:p>
    <w:p>
      <w:pPr>
        <w:pStyle w:val="14"/>
        <w:numPr>
          <w:ilvl w:val="0"/>
          <w:numId w:val="3"/>
        </w:numPr>
        <w:spacing w:after="0" w:line="240" w:lineRule="auto"/>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审核机构：</w:t>
      </w:r>
    </w:p>
    <w:p>
      <w:pPr>
        <w:pStyle w:val="14"/>
        <w:numPr>
          <w:ilvl w:val="0"/>
          <w:numId w:val="3"/>
        </w:numPr>
        <w:spacing w:after="0" w:line="240" w:lineRule="auto"/>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认证机构：</w:t>
      </w:r>
    </w:p>
    <w:p>
      <w:pPr>
        <w:pStyle w:val="14"/>
        <w:numPr>
          <w:ilvl w:val="0"/>
          <w:numId w:val="1"/>
        </w:numPr>
        <w:spacing w:after="0" w:line="240" w:lineRule="auto"/>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简答题：</w:t>
      </w:r>
    </w:p>
    <w:p>
      <w:pPr>
        <w:pStyle w:val="14"/>
        <w:numPr>
          <w:ilvl w:val="0"/>
          <w:numId w:val="4"/>
        </w:numPr>
        <w:spacing w:after="0" w:line="240" w:lineRule="auto"/>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简述马斯洛需求层次理论的主要论点。</w:t>
      </w:r>
    </w:p>
    <w:p>
      <w:pPr>
        <w:pStyle w:val="14"/>
        <w:numPr>
          <w:ilvl w:val="0"/>
          <w:numId w:val="4"/>
        </w:numPr>
        <w:spacing w:after="0" w:line="240" w:lineRule="auto"/>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简述管理体系认证的主要过程。</w:t>
      </w:r>
    </w:p>
    <w:p>
      <w:pPr>
        <w:pStyle w:val="14"/>
        <w:numPr>
          <w:ilvl w:val="0"/>
          <w:numId w:val="1"/>
        </w:numPr>
        <w:spacing w:after="0" w:line="240" w:lineRule="auto"/>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论述题：</w:t>
      </w:r>
    </w:p>
    <w:p>
      <w:pPr>
        <w:pStyle w:val="14"/>
        <w:numPr>
          <w:ilvl w:val="1"/>
          <w:numId w:val="1"/>
        </w:numPr>
        <w:spacing w:after="0" w:line="240" w:lineRule="auto"/>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如何理解认证中的公开信息与保密信息？</w:t>
      </w:r>
    </w:p>
    <w:p>
      <w:pPr>
        <w:pStyle w:val="14"/>
        <w:numPr>
          <w:ilvl w:val="1"/>
          <w:numId w:val="1"/>
        </w:numPr>
        <w:spacing w:after="0" w:line="240" w:lineRule="auto"/>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试论述认证过程与审核过程的内容及其区别与联系。</w:t>
      </w:r>
      <w:bookmarkStart w:id="1" w:name="_GoBack"/>
      <w:bookmarkEnd w:id="1"/>
    </w:p>
    <w:sectPr>
      <w:footerReference r:id="rId5"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pict>
        <v:shape id="_x0000_s1025" o:spid="_x0000_s1025"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pPr>
                  <w:pStyle w:val="5"/>
                </w:pPr>
                <w:r>
                  <w:fldChar w:fldCharType="begin"/>
                </w:r>
                <w:r>
                  <w:instrText xml:space="preserve"> PAGE  \* MERGEFORMAT </w:instrText>
                </w:r>
                <w:r>
                  <w:fldChar w:fldCharType="separate"/>
                </w:r>
                <w:r>
                  <w:t>1</w:t>
                </w:r>
                <w: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EB018E2"/>
    <w:multiLevelType w:val="multilevel"/>
    <w:tmpl w:val="0EB018E2"/>
    <w:lvl w:ilvl="0" w:tentative="0">
      <w:start w:val="1"/>
      <w:numFmt w:val="decimal"/>
      <w:lvlText w:val="%1."/>
      <w:lvlJc w:val="left"/>
      <w:pPr>
        <w:ind w:left="780" w:hanging="360"/>
      </w:pPr>
      <w:rPr>
        <w:rFonts w:hint="default"/>
      </w:r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1">
    <w:nsid w:val="2BEA6EB8"/>
    <w:multiLevelType w:val="multilevel"/>
    <w:tmpl w:val="2BEA6EB8"/>
    <w:lvl w:ilvl="0" w:tentative="0">
      <w:start w:val="1"/>
      <w:numFmt w:val="japaneseCounting"/>
      <w:lvlText w:val="%1、"/>
      <w:lvlJc w:val="left"/>
      <w:pPr>
        <w:ind w:left="420" w:hanging="420"/>
      </w:pPr>
      <w:rPr>
        <w:rFonts w:hint="default"/>
      </w:rPr>
    </w:lvl>
    <w:lvl w:ilvl="1" w:tentative="0">
      <w:start w:val="1"/>
      <w:numFmt w:val="decimal"/>
      <w:lvlText w:val="%2．"/>
      <w:lvlJc w:val="left"/>
      <w:pPr>
        <w:ind w:left="800" w:hanging="360"/>
      </w:pPr>
      <w:rPr>
        <w:rFonts w:hint="default"/>
      </w:r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
    <w:nsid w:val="3D940BD8"/>
    <w:multiLevelType w:val="multilevel"/>
    <w:tmpl w:val="3D940BD8"/>
    <w:lvl w:ilvl="0" w:tentative="0">
      <w:start w:val="1"/>
      <w:numFmt w:val="decimal"/>
      <w:lvlText w:val="%1."/>
      <w:lvlJc w:val="left"/>
      <w:pPr>
        <w:ind w:left="780" w:hanging="360"/>
      </w:pPr>
      <w:rPr>
        <w:rFonts w:hint="default"/>
      </w:r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3">
    <w:nsid w:val="63AC14A0"/>
    <w:multiLevelType w:val="multilevel"/>
    <w:tmpl w:val="63AC14A0"/>
    <w:lvl w:ilvl="0" w:tentative="0">
      <w:start w:val="1"/>
      <w:numFmt w:val="decimal"/>
      <w:lvlText w:val="%1."/>
      <w:lvlJc w:val="left"/>
      <w:pPr>
        <w:ind w:left="780" w:hanging="360"/>
      </w:pPr>
      <w:rPr>
        <w:rFonts w:hint="default"/>
      </w:r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characterSpacingControl w:val="doNotCompress"/>
  <w:hdrShapeDefaults>
    <o:shapelayout v:ext="edit">
      <o:idmap v:ext="edit" data="1"/>
    </o:shapelayout>
  </w:hdrShapeDefaults>
  <w:footnotePr>
    <w:footnote w:id="0"/>
    <w:footnote w:id="1"/>
  </w:footnotePr>
  <w:endnotePr>
    <w:endnote w:id="0"/>
    <w:endnote w:id="1"/>
  </w:endnotePr>
  <w:compat>
    <w:useFELayout/>
    <w:compatSetting w:name="compatibilityMode" w:uri="http://schemas.microsoft.com/office/word" w:val="12"/>
  </w:compat>
  <w:docVars>
    <w:docVar w:name="commondata" w:val="eyJoZGlkIjoiY2Y0MWVhNjIwMTgwMzYxOTYzYmQwZDI0NDVmZTRmYWUifQ=="/>
  </w:docVars>
  <w:rsids>
    <w:rsidRoot w:val="00464249"/>
    <w:rsid w:val="00002B23"/>
    <w:rsid w:val="0006335E"/>
    <w:rsid w:val="000B5843"/>
    <w:rsid w:val="000D300A"/>
    <w:rsid w:val="000E6F91"/>
    <w:rsid w:val="001642E6"/>
    <w:rsid w:val="001A6A91"/>
    <w:rsid w:val="001D670B"/>
    <w:rsid w:val="001D6B22"/>
    <w:rsid w:val="001F445E"/>
    <w:rsid w:val="001F5E1C"/>
    <w:rsid w:val="00206341"/>
    <w:rsid w:val="002143E7"/>
    <w:rsid w:val="00221956"/>
    <w:rsid w:val="0024225C"/>
    <w:rsid w:val="00254C1D"/>
    <w:rsid w:val="00272633"/>
    <w:rsid w:val="00283606"/>
    <w:rsid w:val="00290AE9"/>
    <w:rsid w:val="002A72E7"/>
    <w:rsid w:val="002B4F98"/>
    <w:rsid w:val="002C434C"/>
    <w:rsid w:val="002E399E"/>
    <w:rsid w:val="002F5E37"/>
    <w:rsid w:val="003226A2"/>
    <w:rsid w:val="00332B07"/>
    <w:rsid w:val="00391F7C"/>
    <w:rsid w:val="003E0CB4"/>
    <w:rsid w:val="003E7872"/>
    <w:rsid w:val="003F4253"/>
    <w:rsid w:val="00416F1E"/>
    <w:rsid w:val="00425212"/>
    <w:rsid w:val="004252FC"/>
    <w:rsid w:val="004257EB"/>
    <w:rsid w:val="00443B1F"/>
    <w:rsid w:val="00464249"/>
    <w:rsid w:val="004834CE"/>
    <w:rsid w:val="004D4870"/>
    <w:rsid w:val="0050173B"/>
    <w:rsid w:val="005173B6"/>
    <w:rsid w:val="00525BDB"/>
    <w:rsid w:val="00534ADA"/>
    <w:rsid w:val="0055066D"/>
    <w:rsid w:val="0056296B"/>
    <w:rsid w:val="005B77EE"/>
    <w:rsid w:val="005F0B2A"/>
    <w:rsid w:val="006374E6"/>
    <w:rsid w:val="00647100"/>
    <w:rsid w:val="00670F47"/>
    <w:rsid w:val="00680213"/>
    <w:rsid w:val="006A3C6F"/>
    <w:rsid w:val="006B0EB3"/>
    <w:rsid w:val="006B107B"/>
    <w:rsid w:val="006B152A"/>
    <w:rsid w:val="006B1542"/>
    <w:rsid w:val="006D2D11"/>
    <w:rsid w:val="006F76D7"/>
    <w:rsid w:val="00700F65"/>
    <w:rsid w:val="007273CD"/>
    <w:rsid w:val="00745BE7"/>
    <w:rsid w:val="00750E38"/>
    <w:rsid w:val="007525FB"/>
    <w:rsid w:val="00776C85"/>
    <w:rsid w:val="00780750"/>
    <w:rsid w:val="007A1489"/>
    <w:rsid w:val="007C5EC7"/>
    <w:rsid w:val="007F3EC5"/>
    <w:rsid w:val="007F6BA2"/>
    <w:rsid w:val="00810186"/>
    <w:rsid w:val="008113AB"/>
    <w:rsid w:val="008127A3"/>
    <w:rsid w:val="00813E5D"/>
    <w:rsid w:val="0087610C"/>
    <w:rsid w:val="008B096C"/>
    <w:rsid w:val="008B6D20"/>
    <w:rsid w:val="008D2936"/>
    <w:rsid w:val="008F5066"/>
    <w:rsid w:val="0090183A"/>
    <w:rsid w:val="0098038C"/>
    <w:rsid w:val="009813F1"/>
    <w:rsid w:val="0098552B"/>
    <w:rsid w:val="009F5D99"/>
    <w:rsid w:val="00A05CF6"/>
    <w:rsid w:val="00AA3A9E"/>
    <w:rsid w:val="00AC1FB0"/>
    <w:rsid w:val="00AC25A1"/>
    <w:rsid w:val="00AE3278"/>
    <w:rsid w:val="00AE6E16"/>
    <w:rsid w:val="00B15556"/>
    <w:rsid w:val="00B35DA2"/>
    <w:rsid w:val="00B37FAE"/>
    <w:rsid w:val="00B83652"/>
    <w:rsid w:val="00B91BFC"/>
    <w:rsid w:val="00BB0C9F"/>
    <w:rsid w:val="00BB3188"/>
    <w:rsid w:val="00BC020C"/>
    <w:rsid w:val="00BC513B"/>
    <w:rsid w:val="00BD4982"/>
    <w:rsid w:val="00BD769A"/>
    <w:rsid w:val="00BF207D"/>
    <w:rsid w:val="00C01310"/>
    <w:rsid w:val="00C0541B"/>
    <w:rsid w:val="00C07111"/>
    <w:rsid w:val="00C10B7A"/>
    <w:rsid w:val="00C463C7"/>
    <w:rsid w:val="00C5075B"/>
    <w:rsid w:val="00C90605"/>
    <w:rsid w:val="00C950A1"/>
    <w:rsid w:val="00CC6012"/>
    <w:rsid w:val="00CD4D62"/>
    <w:rsid w:val="00CD4F25"/>
    <w:rsid w:val="00CF1588"/>
    <w:rsid w:val="00CF2FEA"/>
    <w:rsid w:val="00D07AD2"/>
    <w:rsid w:val="00D14D61"/>
    <w:rsid w:val="00D63486"/>
    <w:rsid w:val="00D91594"/>
    <w:rsid w:val="00E2578D"/>
    <w:rsid w:val="00E27DEC"/>
    <w:rsid w:val="00E30475"/>
    <w:rsid w:val="00E35684"/>
    <w:rsid w:val="00E46106"/>
    <w:rsid w:val="00E52367"/>
    <w:rsid w:val="00E7535E"/>
    <w:rsid w:val="00EE4ED1"/>
    <w:rsid w:val="00F1220D"/>
    <w:rsid w:val="00F20303"/>
    <w:rsid w:val="00F44107"/>
    <w:rsid w:val="00F55081"/>
    <w:rsid w:val="00F60DA9"/>
    <w:rsid w:val="00F63EBB"/>
    <w:rsid w:val="1096180F"/>
    <w:rsid w:val="149208C7"/>
    <w:rsid w:val="16643343"/>
    <w:rsid w:val="202C7E36"/>
    <w:rsid w:val="222C29FE"/>
    <w:rsid w:val="23B53D17"/>
    <w:rsid w:val="243A6CE5"/>
    <w:rsid w:val="249D25C5"/>
    <w:rsid w:val="2BF62E30"/>
    <w:rsid w:val="2E5D4B3C"/>
    <w:rsid w:val="30996B32"/>
    <w:rsid w:val="369D0D1C"/>
    <w:rsid w:val="41310BD5"/>
    <w:rsid w:val="4AAA1E0D"/>
    <w:rsid w:val="4F4F2747"/>
    <w:rsid w:val="51DE5191"/>
    <w:rsid w:val="55741347"/>
    <w:rsid w:val="597B0D97"/>
    <w:rsid w:val="5A49144A"/>
    <w:rsid w:val="69DB748C"/>
    <w:rsid w:val="69EE652D"/>
    <w:rsid w:val="727E12B1"/>
    <w:rsid w:val="73C875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after="160" w:line="278" w:lineRule="auto"/>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1"/>
    <w:autoRedefine/>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9"/>
    <w:autoRedefine/>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10"/>
    <w:autoRedefine/>
    <w:unhideWhenUsed/>
    <w:qFormat/>
    <w:uiPriority w:val="9"/>
    <w:pPr>
      <w:keepNext/>
      <w:keepLines/>
      <w:spacing w:before="260" w:after="260" w:line="416" w:lineRule="auto"/>
      <w:outlineLvl w:val="2"/>
    </w:pPr>
    <w:rPr>
      <w:b/>
      <w:bCs/>
      <w:sz w:val="32"/>
      <w:szCs w:val="32"/>
    </w:rPr>
  </w:style>
  <w:style w:type="character" w:default="1" w:styleId="8">
    <w:name w:val="Default Paragraph Font"/>
    <w:autoRedefine/>
    <w:semiHidden/>
    <w:unhideWhenUsed/>
    <w:qFormat/>
    <w:uiPriority w:val="1"/>
  </w:style>
  <w:style w:type="table" w:default="1" w:styleId="7">
    <w:name w:val="Normal Table"/>
    <w:autoRedefine/>
    <w:semiHidden/>
    <w:unhideWhenUsed/>
    <w:qFormat/>
    <w:uiPriority w:val="99"/>
    <w:tblPr>
      <w:tblCellMar>
        <w:top w:w="0" w:type="dxa"/>
        <w:left w:w="108" w:type="dxa"/>
        <w:bottom w:w="0" w:type="dxa"/>
        <w:right w:w="108" w:type="dxa"/>
      </w:tblCellMar>
    </w:tblPr>
  </w:style>
  <w:style w:type="paragraph" w:styleId="5">
    <w:name w:val="footer"/>
    <w:basedOn w:val="1"/>
    <w:link w:val="13"/>
    <w:autoRedefine/>
    <w:unhideWhenUsed/>
    <w:qFormat/>
    <w:uiPriority w:val="99"/>
    <w:pPr>
      <w:tabs>
        <w:tab w:val="center" w:pos="4153"/>
        <w:tab w:val="right" w:pos="8306"/>
      </w:tabs>
      <w:snapToGrid w:val="0"/>
      <w:jc w:val="left"/>
    </w:pPr>
    <w:rPr>
      <w:sz w:val="18"/>
      <w:szCs w:val="18"/>
    </w:rPr>
  </w:style>
  <w:style w:type="paragraph" w:styleId="6">
    <w:name w:val="header"/>
    <w:basedOn w:val="1"/>
    <w:link w:val="12"/>
    <w:autoRedefine/>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9">
    <w:name w:val="标题 2 字符"/>
    <w:basedOn w:val="8"/>
    <w:link w:val="3"/>
    <w:autoRedefine/>
    <w:qFormat/>
    <w:uiPriority w:val="9"/>
    <w:rPr>
      <w:rFonts w:asciiTheme="majorHAnsi" w:hAnsiTheme="majorHAnsi" w:eastAsiaTheme="majorEastAsia" w:cstheme="majorBidi"/>
      <w:b/>
      <w:bCs/>
      <w:sz w:val="32"/>
      <w:szCs w:val="32"/>
    </w:rPr>
  </w:style>
  <w:style w:type="character" w:customStyle="1" w:styleId="10">
    <w:name w:val="标题 3 字符"/>
    <w:basedOn w:val="8"/>
    <w:link w:val="4"/>
    <w:autoRedefine/>
    <w:qFormat/>
    <w:uiPriority w:val="9"/>
    <w:rPr>
      <w:b/>
      <w:bCs/>
      <w:sz w:val="32"/>
      <w:szCs w:val="32"/>
    </w:rPr>
  </w:style>
  <w:style w:type="character" w:customStyle="1" w:styleId="11">
    <w:name w:val="标题 1 字符"/>
    <w:basedOn w:val="8"/>
    <w:link w:val="2"/>
    <w:autoRedefine/>
    <w:qFormat/>
    <w:uiPriority w:val="9"/>
    <w:rPr>
      <w:b/>
      <w:bCs/>
      <w:kern w:val="44"/>
      <w:sz w:val="44"/>
      <w:szCs w:val="44"/>
    </w:rPr>
  </w:style>
  <w:style w:type="character" w:customStyle="1" w:styleId="12">
    <w:name w:val="页眉 字符"/>
    <w:basedOn w:val="8"/>
    <w:link w:val="6"/>
    <w:autoRedefine/>
    <w:qFormat/>
    <w:uiPriority w:val="99"/>
    <w:rPr>
      <w:sz w:val="18"/>
      <w:szCs w:val="18"/>
    </w:rPr>
  </w:style>
  <w:style w:type="character" w:customStyle="1" w:styleId="13">
    <w:name w:val="页脚 字符"/>
    <w:basedOn w:val="8"/>
    <w:link w:val="5"/>
    <w:autoRedefine/>
    <w:qFormat/>
    <w:uiPriority w:val="99"/>
    <w:rPr>
      <w:sz w:val="18"/>
      <w:szCs w:val="18"/>
    </w:rPr>
  </w:style>
  <w:style w:type="paragraph" w:styleId="14">
    <w:name w:val="List Paragraph"/>
    <w:basedOn w:val="1"/>
    <w:autoRedefine/>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5"/>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23D0233-BCDA-4E83-ABD1-A8FBE8BE7752}">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14</Pages>
  <Words>885</Words>
  <Characters>5050</Characters>
  <Lines>42</Lines>
  <Paragraphs>11</Paragraphs>
  <TotalTime>11</TotalTime>
  <ScaleCrop>false</ScaleCrop>
  <LinksUpToDate>false</LinksUpToDate>
  <CharactersWithSpaces>5924</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2022-12-15T12:03:00Z</dcterms:created>
  <dc:creator>Administrator</dc:creator>
  <cp:lastModifiedBy>勇气</cp:lastModifiedBy>
  <dcterms:modified xsi:type="dcterms:W3CDTF">2024-04-24T16:37:18Z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CC204807065E4750946D8519AB6FD061_12</vt:lpwstr>
  </property>
</Properties>
</file>