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val="en-US" w:eastAsia="zh-CN"/>
        </w:rPr>
        <w:t>广东省高等教育自学考试</w:t>
      </w: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color w:val="000000" w:themeColor="text1"/>
          <w:sz w:val="21"/>
          <w:szCs w:val="21"/>
          <w14:textFill>
            <w14:solidFill>
              <w14:schemeClr w14:val="tx1"/>
            </w14:solidFill>
          </w14:textFill>
        </w:rPr>
        <w:t>内部控制与风险管理</w:t>
      </w: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课程</w:t>
      </w:r>
      <w:r>
        <w:rPr>
          <w:rFonts w:hint="eastAsia" w:ascii="仿宋_GB2312" w:hAnsi="仿宋_GB2312" w:eastAsia="仿宋_GB2312" w:cs="仿宋_GB2312"/>
          <w:b/>
          <w:bCs/>
          <w:sz w:val="21"/>
          <w:szCs w:val="21"/>
        </w:rPr>
        <w:t>考试大纲</w:t>
      </w: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lang w:eastAsia="zh-CN"/>
        </w:rPr>
      </w:pP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课程代码：14033</w:t>
      </w:r>
      <w:r>
        <w:rPr>
          <w:rFonts w:hint="eastAsia" w:ascii="仿宋_GB2312" w:hAnsi="仿宋_GB2312" w:eastAsia="仿宋_GB2312" w:cs="仿宋_GB2312"/>
          <w:b/>
          <w:bCs/>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center"/>
        <w:outlineLvl w:val="9"/>
        <w:rPr>
          <w:rFonts w:hint="eastAsia" w:ascii="仿宋_GB2312" w:hAnsi="仿宋_GB2312" w:eastAsia="仿宋_GB2312" w:cs="仿宋_GB2312"/>
          <w:b w:val="0"/>
          <w:bCs w:val="0"/>
          <w:sz w:val="21"/>
          <w:szCs w:val="21"/>
          <w:lang w:eastAsia="zh-CN"/>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b/>
          <w:bCs/>
          <w:sz w:val="21"/>
          <w:szCs w:val="21"/>
          <w:lang w:val="en-US" w:eastAsia="zh-CN"/>
        </w:rPr>
        <w:t>目录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Ⅳ  关于大纲的说明与考核实施要求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 xml:space="preserve">附录 </w:t>
      </w:r>
      <w:r>
        <w:rPr>
          <w:rFonts w:hint="eastAsia" w:ascii="仿宋_GB2312" w:hAnsi="仿宋_GB2312" w:eastAsia="仿宋_GB2312" w:cs="仿宋_GB2312"/>
          <w:b w:val="0"/>
          <w:bCs w:val="0"/>
          <w:sz w:val="21"/>
          <w:szCs w:val="21"/>
        </w:rPr>
        <w:t>题型举例</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p>
    <w:p>
      <w:pPr>
        <w:keepNext w:val="0"/>
        <w:keepLines w:val="0"/>
        <w:pageBreakBefore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color w:val="000000" w:themeColor="text1"/>
          <w:sz w:val="21"/>
          <w:szCs w:val="21"/>
          <w14:textFill>
            <w14:solidFill>
              <w14:schemeClr w14:val="tx1"/>
            </w14:solidFill>
          </w14:textFill>
        </w:rPr>
      </w:pPr>
      <w:r>
        <w:rPr>
          <w:rFonts w:hint="eastAsia" w:ascii="仿宋_GB2312" w:hAnsi="仿宋_GB2312" w:eastAsia="仿宋_GB2312" w:cs="仿宋_GB2312"/>
          <w:b/>
          <w:bCs/>
          <w:color w:val="000000" w:themeColor="text1"/>
          <w:sz w:val="21"/>
          <w:szCs w:val="21"/>
          <w14:textFill>
            <w14:solidFill>
              <w14:schemeClr w14:val="tx1"/>
            </w14:solidFill>
          </w14:textFill>
        </w:rPr>
        <w:t>Ⅰ  课程性质与课程目标</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一、课程性质和特点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“内部控制与风险管理”是高等教育自学考试会计学（专升本）</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等</w:t>
      </w:r>
      <w:r>
        <w:rPr>
          <w:rFonts w:hint="eastAsia" w:ascii="仿宋_GB2312" w:hAnsi="仿宋_GB2312" w:eastAsia="仿宋_GB2312" w:cs="仿宋_GB2312"/>
          <w:b w:val="0"/>
          <w:bCs w:val="0"/>
          <w:color w:val="000000" w:themeColor="text1"/>
          <w:sz w:val="21"/>
          <w:szCs w:val="21"/>
          <w14:textFill>
            <w14:solidFill>
              <w14:schemeClr w14:val="tx1"/>
            </w14:solidFill>
          </w14:textFill>
        </w:rPr>
        <w:t>专业的必修课程，是为培养和检验自学应考者的内部控制与风险控制理论而设置的一门专业课程。</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内部控制与风险管理是适应我国社会主义市场经济的要求，预判风险，进行相应的内部控制，强化风险意识，提高风险化解能力，完善风险防控机制而建立的一门应用性学科。该学科以中国社会主义市场经济条件下的风险识别、风险分析、风险应对为主要研究领域，以社会主义市场经济中企事业单位内部控制活动的基本理论及其方法运用为基本研究对象。</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开设内部控制与风险管理课程的目的，在于培养自学应考者从事风险识别、风险分析、风险应对以及内部控制相关工作的能力。通过本课程的学习，学员应该掌握内部控制与风险管理的基本理论与方法，并运用这些理论与方法解决企业风险管理和内部控制存在的问题。</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二、课程目标</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设置本课程的主要目的是使考生能够：</w:t>
      </w:r>
    </w:p>
    <w:p>
      <w:pPr>
        <w:keepNext w:val="0"/>
        <w:keepLines w:val="0"/>
        <w:pageBreakBefore w:val="0"/>
        <w:numPr>
          <w:ilvl w:val="0"/>
          <w:numId w:val="1"/>
        </w:numPr>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理解企业内部控制与风险管理基本概念、原则和假设</w:t>
      </w:r>
      <w:r>
        <w:rPr>
          <w:rFonts w:hint="eastAsia" w:ascii="仿宋_GB2312" w:hAnsi="仿宋_GB2312" w:eastAsia="仿宋_GB2312" w:cs="仿宋_GB2312"/>
          <w:b w:val="0"/>
          <w:bCs w:val="0"/>
          <w:color w:val="000000" w:themeColor="text1"/>
          <w:kern w:val="0"/>
          <w:sz w:val="21"/>
          <w:szCs w:val="21"/>
          <w14:textFill>
            <w14:solidFill>
              <w14:schemeClr w14:val="tx1"/>
            </w14:solidFill>
          </w14:textFill>
        </w:rPr>
        <w:t>；</w:t>
      </w:r>
    </w:p>
    <w:p>
      <w:pPr>
        <w:keepNext w:val="0"/>
        <w:keepLines w:val="0"/>
        <w:pageBreakBefore w:val="0"/>
        <w:numPr>
          <w:ilvl w:val="0"/>
          <w:numId w:val="1"/>
        </w:numPr>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了解内部控制与风险管理的发展历程、内部控制整合框架和风险管理整合框架；</w:t>
      </w:r>
    </w:p>
    <w:p>
      <w:pPr>
        <w:keepNext w:val="0"/>
        <w:keepLines w:val="0"/>
        <w:pageBreakBefore w:val="0"/>
        <w:numPr>
          <w:ilvl w:val="0"/>
          <w:numId w:val="1"/>
        </w:numPr>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掌握风险识别方法、风险分析方法、风险应对策略、</w:t>
      </w:r>
      <w:r>
        <w:rPr>
          <w:rFonts w:hint="eastAsia" w:ascii="仿宋_GB2312" w:hAnsi="仿宋_GB2312" w:eastAsia="仿宋_GB2312" w:cs="仿宋_GB2312"/>
          <w:b w:val="0"/>
          <w:bCs w:val="0"/>
          <w:color w:val="000000" w:themeColor="text1"/>
          <w:kern w:val="0"/>
          <w:sz w:val="21"/>
          <w:szCs w:val="21"/>
          <w14:textFill>
            <w14:solidFill>
              <w14:schemeClr w14:val="tx1"/>
            </w14:solidFill>
          </w14:textFill>
        </w:rPr>
        <w:t>主要内部控制措施</w:t>
      </w:r>
      <w:r>
        <w:rPr>
          <w:rFonts w:hint="eastAsia" w:ascii="仿宋_GB2312" w:hAnsi="仿宋_GB2312" w:eastAsia="仿宋_GB2312" w:cs="仿宋_GB2312"/>
          <w:b w:val="0"/>
          <w:bCs w:val="0"/>
          <w:color w:val="000000" w:themeColor="text1"/>
          <w:sz w:val="21"/>
          <w:szCs w:val="21"/>
          <w14:textFill>
            <w14:solidFill>
              <w14:schemeClr w14:val="tx1"/>
            </w14:solidFill>
          </w14:textFill>
        </w:rPr>
        <w:t>；</w:t>
      </w:r>
    </w:p>
    <w:p>
      <w:pPr>
        <w:keepNext w:val="0"/>
        <w:keepLines w:val="0"/>
        <w:pageBreakBefore w:val="0"/>
        <w:numPr>
          <w:ilvl w:val="0"/>
          <w:numId w:val="1"/>
        </w:numPr>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熟悉企业发展战略的制定、实施过程、</w:t>
      </w:r>
      <w:r>
        <w:rPr>
          <w:rFonts w:hint="eastAsia" w:ascii="仿宋_GB2312" w:hAnsi="仿宋_GB2312" w:eastAsia="仿宋_GB2312" w:cs="仿宋_GB2312"/>
          <w:b w:val="0"/>
          <w:bCs w:val="0"/>
          <w:color w:val="000000" w:themeColor="text1"/>
          <w:kern w:val="0"/>
          <w:sz w:val="21"/>
          <w:szCs w:val="21"/>
          <w14:textFill>
            <w14:solidFill>
              <w14:schemeClr w14:val="tx1"/>
            </w14:solidFill>
          </w14:textFill>
        </w:rPr>
        <w:t>内部控制的主要控制活动类型</w:t>
      </w:r>
      <w:r>
        <w:rPr>
          <w:rFonts w:hint="eastAsia" w:ascii="仿宋_GB2312" w:hAnsi="仿宋_GB2312" w:eastAsia="仿宋_GB2312" w:cs="仿宋_GB2312"/>
          <w:b w:val="0"/>
          <w:bCs w:val="0"/>
          <w:color w:val="000000" w:themeColor="text1"/>
          <w:sz w:val="21"/>
          <w:szCs w:val="21"/>
          <w14:textFill>
            <w14:solidFill>
              <w14:schemeClr w14:val="tx1"/>
            </w14:solidFill>
          </w14:textFill>
        </w:rPr>
        <w:t>；</w:t>
      </w:r>
    </w:p>
    <w:p>
      <w:pPr>
        <w:keepNext w:val="0"/>
        <w:keepLines w:val="0"/>
        <w:pageBreakBefore w:val="0"/>
        <w:numPr>
          <w:ilvl w:val="0"/>
          <w:numId w:val="1"/>
        </w:numPr>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运用所学知识，解决风险管理和内部控制工作中的具体问题。</w:t>
      </w:r>
    </w:p>
    <w:p>
      <w:pPr>
        <w:keepNext w:val="0"/>
        <w:keepLines w:val="0"/>
        <w:pageBreakBefore w:val="0"/>
        <w:kinsoku/>
        <w:wordWrap/>
        <w:overflowPunct/>
        <w:topLinePunct w:val="0"/>
        <w:autoSpaceDE/>
        <w:autoSpaceDN/>
        <w:bidi w:val="0"/>
        <w:snapToGrid w:val="0"/>
        <w:spacing w:line="240" w:lineRule="auto"/>
        <w:ind w:right="0" w:rightChars="0" w:firstLine="555"/>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三、与相关课程的联系与区别</w:t>
      </w:r>
    </w:p>
    <w:p>
      <w:pPr>
        <w:keepNext w:val="0"/>
        <w:keepLines w:val="0"/>
        <w:pageBreakBefore w:val="0"/>
        <w:kinsoku/>
        <w:wordWrap/>
        <w:overflowPunct/>
        <w:topLinePunct w:val="0"/>
        <w:autoSpaceDE/>
        <w:autoSpaceDN/>
        <w:bidi w:val="0"/>
        <w:snapToGrid w:val="0"/>
        <w:spacing w:line="240" w:lineRule="auto"/>
        <w:ind w:right="0" w:rightChars="0" w:firstLine="555"/>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r>
        <w:rPr>
          <w:rFonts w:hint="eastAsia" w:ascii="仿宋_GB2312" w:hAnsi="仿宋_GB2312" w:eastAsia="仿宋_GB2312" w:cs="仿宋_GB2312"/>
          <w:b w:val="0"/>
          <w:bCs w:val="0"/>
          <w:color w:val="000000" w:themeColor="text1"/>
          <w:sz w:val="21"/>
          <w:szCs w:val="21"/>
          <w14:textFill>
            <w14:solidFill>
              <w14:schemeClr w14:val="tx1"/>
            </w14:solidFill>
          </w14:textFill>
        </w:rPr>
        <w:t>内部控制与风险管理</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r>
        <w:rPr>
          <w:rFonts w:hint="eastAsia" w:ascii="仿宋_GB2312" w:hAnsi="仿宋_GB2312" w:eastAsia="仿宋_GB2312" w:cs="仿宋_GB2312"/>
          <w:b w:val="0"/>
          <w:bCs w:val="0"/>
          <w:color w:val="000000" w:themeColor="text1"/>
          <w:sz w:val="21"/>
          <w:szCs w:val="21"/>
          <w14:textFill>
            <w14:solidFill>
              <w14:schemeClr w14:val="tx1"/>
            </w14:solidFill>
          </w14:textFill>
        </w:rPr>
        <w:t>课程是伴随我国社会主义市场经济的兴起与完善而产生和发展的新兴学科。在当今社会突发、意外事情越来越多的情况下，企业面临的风险越来越多，越来越复杂，给企业带来了巨大的威胁和严峻的挑战，如何利用企业内部控制，化解和防护风险，有效完善、健全企业内部措施。“内部控制与风险管理”就变得更加重要。“内部控制与风险管理”课程具有综合性，课程内容涉及会计学、财务管理学、审计学、资产评估等学科的知识。学习本课程前需要具备这些学科的基本知识，尤其是会计学、财务管理学与“内部控制与风险管理”课程有着紧密的联系，掌握好会计学、财务管理学的知识是学习本课程的前提。</w:t>
      </w:r>
    </w:p>
    <w:p>
      <w:pPr>
        <w:keepNext w:val="0"/>
        <w:keepLines w:val="0"/>
        <w:pageBreakBefore w:val="0"/>
        <w:numPr>
          <w:ilvl w:val="0"/>
          <w:numId w:val="0"/>
        </w:numPr>
        <w:kinsoku/>
        <w:wordWrap/>
        <w:overflowPunct/>
        <w:topLinePunct w:val="0"/>
        <w:autoSpaceDE/>
        <w:autoSpaceDN/>
        <w:bidi w:val="0"/>
        <w:snapToGrid w:val="0"/>
        <w:spacing w:line="240" w:lineRule="auto"/>
        <w:ind w:left="630" w:leftChars="0"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lang w:val="en-US" w:eastAsia="zh-CN"/>
          <w14:textFill>
            <w14:solidFill>
              <w14:schemeClr w14:val="tx1"/>
            </w14:solidFill>
          </w14:textFill>
        </w:rPr>
        <w:t>四、</w:t>
      </w:r>
      <w:r>
        <w:rPr>
          <w:rFonts w:hint="eastAsia" w:ascii="仿宋_GB2312" w:hAnsi="仿宋_GB2312" w:eastAsia="仿宋_GB2312" w:cs="仿宋_GB2312"/>
          <w:b w:val="0"/>
          <w:bCs w:val="0"/>
          <w:color w:val="000000" w:themeColor="text1"/>
          <w:sz w:val="21"/>
          <w:szCs w:val="21"/>
          <w14:textFill>
            <w14:solidFill>
              <w14:schemeClr w14:val="tx1"/>
            </w14:solidFill>
          </w14:textFill>
        </w:rPr>
        <w:t xml:space="preserve">课程的重点和难点  </w:t>
      </w:r>
    </w:p>
    <w:p>
      <w:pPr>
        <w:keepNext w:val="0"/>
        <w:keepLines w:val="0"/>
        <w:pageBreakBefore w:val="0"/>
        <w:kinsoku/>
        <w:wordWrap/>
        <w:overflowPunct/>
        <w:topLinePunct w:val="0"/>
        <w:autoSpaceDE/>
        <w:autoSpaceDN/>
        <w:bidi w:val="0"/>
        <w:snapToGrid w:val="0"/>
        <w:spacing w:line="240" w:lineRule="auto"/>
        <w:ind w:right="0" w:rightChars="0" w:firstLine="555"/>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bookmarkStart w:id="0" w:name="_Hlk130593708"/>
      <w:r>
        <w:rPr>
          <w:rFonts w:hint="eastAsia" w:ascii="仿宋_GB2312" w:hAnsi="仿宋_GB2312" w:eastAsia="仿宋_GB2312" w:cs="仿宋_GB2312"/>
          <w:b w:val="0"/>
          <w:bCs w:val="0"/>
          <w:color w:val="000000" w:themeColor="text1"/>
          <w:sz w:val="21"/>
          <w:szCs w:val="21"/>
          <w14:textFill>
            <w14:solidFill>
              <w14:schemeClr w14:val="tx1"/>
            </w14:solidFill>
          </w14:textFill>
        </w:rPr>
        <w:t>本课程的重点内容是第四章的第一、二、三、四、五节；第五章的第一、三节；第六章的第一、三节；第七章的第一、二、三、四、五节；第八章的第一、二、四、六、七节；第九章的第一、二、三节；第十章的第一、二、三节。</w:t>
      </w:r>
    </w:p>
    <w:bookmarkEnd w:id="0"/>
    <w:p>
      <w:pPr>
        <w:keepNext w:val="0"/>
        <w:keepLines w:val="0"/>
        <w:pageBreakBefore w:val="0"/>
        <w:kinsoku/>
        <w:wordWrap/>
        <w:overflowPunct/>
        <w:topLinePunct w:val="0"/>
        <w:autoSpaceDE/>
        <w:autoSpaceDN/>
        <w:bidi w:val="0"/>
        <w:snapToGrid w:val="0"/>
        <w:spacing w:line="240" w:lineRule="auto"/>
        <w:ind w:right="0" w:rightChars="0" w:firstLine="555"/>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本课程的难点内容是第四章的第一节；第五章的第三节；第六章的第三节；第七章的第五节；第八章的第一、二、四、六、七节；第九章的第一、二、三节；第十章的第一、二、三节。</w:t>
      </w:r>
    </w:p>
    <w:p>
      <w:pPr>
        <w:keepNext w:val="0"/>
        <w:keepLines w:val="0"/>
        <w:pageBreakBefore w:val="0"/>
        <w:kinsoku/>
        <w:wordWrap/>
        <w:overflowPunct/>
        <w:topLinePunct w:val="0"/>
        <w:autoSpaceDE/>
        <w:autoSpaceDN/>
        <w:bidi w:val="0"/>
        <w:snapToGrid w:val="0"/>
        <w:spacing w:line="240" w:lineRule="auto"/>
        <w:ind w:right="0" w:rightChars="0" w:firstLine="555"/>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各章具体的重点和难点在大纲后面均有明确说明。</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p>
    <w:p>
      <w:pPr>
        <w:keepNext w:val="0"/>
        <w:keepLines w:val="0"/>
        <w:pageBreakBefore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color w:val="000000" w:themeColor="text1"/>
          <w:sz w:val="21"/>
          <w:szCs w:val="21"/>
          <w14:textFill>
            <w14:solidFill>
              <w14:schemeClr w14:val="tx1"/>
            </w14:solidFill>
          </w14:textFill>
        </w:rPr>
      </w:pPr>
      <w:r>
        <w:rPr>
          <w:rFonts w:hint="eastAsia" w:ascii="仿宋_GB2312" w:hAnsi="仿宋_GB2312" w:eastAsia="仿宋_GB2312" w:cs="仿宋_GB2312"/>
          <w:b/>
          <w:bCs/>
          <w:color w:val="000000" w:themeColor="text1"/>
          <w:sz w:val="21"/>
          <w:szCs w:val="21"/>
          <w14:textFill>
            <w14:solidFill>
              <w14:schemeClr w14:val="tx1"/>
            </w14:solidFill>
          </w14:textFill>
        </w:rPr>
        <w:t>Ⅱ  考核目标</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本大纲的考核目标，要求学生达到</w:t>
      </w:r>
      <w:r>
        <w:rPr>
          <w:rFonts w:hint="eastAsia" w:ascii="仿宋_GB2312" w:hAnsi="仿宋_GB2312" w:eastAsia="仿宋_GB2312" w:cs="仿宋_GB2312"/>
          <w:b w:val="0"/>
          <w:bCs w:val="0"/>
          <w:color w:val="000000" w:themeColor="text1"/>
          <w:sz w:val="21"/>
          <w:szCs w:val="21"/>
          <w:lang w:val="en-US" w:eastAsia="zh-CN"/>
          <w14:textFill>
            <w14:solidFill>
              <w14:schemeClr w14:val="tx1"/>
            </w14:solidFill>
          </w14:textFill>
        </w:rPr>
        <w:t>三</w:t>
      </w:r>
      <w:r>
        <w:rPr>
          <w:rFonts w:hint="eastAsia" w:ascii="仿宋_GB2312" w:hAnsi="仿宋_GB2312" w:eastAsia="仿宋_GB2312" w:cs="仿宋_GB2312"/>
          <w:b w:val="0"/>
          <w:bCs w:val="0"/>
          <w:color w:val="000000" w:themeColor="text1"/>
          <w:sz w:val="21"/>
          <w:szCs w:val="21"/>
          <w14:textFill>
            <w14:solidFill>
              <w14:schemeClr w14:val="tx1"/>
            </w14:solidFill>
          </w14:textFill>
        </w:rPr>
        <w:t>个能力层次要求，即“识记”、“领会”、“应用”三个层次，具体含义是：</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识记：能识别和记忆本课程中有关内部控制与风险管理的基本理念、基本原理、基本方法以及有关行业管理法规等，并能根据考核要求，做出正确地表述、选择与判断。</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在识记的基础上，能够掌握内部控制与风险管理的基本概念、原理、方法和有关行业管理法规的内容，能够完整表述内部控制与风险管理的基本内容，能够根据考核的不同要求对内部控制与风险管理问题进行逻辑推理和论证，做出正确的判断、解释和说明。</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能够在识记内部控制与风险管理基本概念和基础知识、领会内部控制与风险管理基本方法和原理基础上，以内部控制五要素，即控制环境、风险评估、控制活动、信息与沟通和监控为依据，分析并解决综合性的内部控制与风险管理实践中的问题，这是考查能力的最高层次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p>
    <w:p>
      <w:pPr>
        <w:keepNext w:val="0"/>
        <w:keepLines w:val="0"/>
        <w:pageBreakBefore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color w:val="000000" w:themeColor="text1"/>
          <w:sz w:val="21"/>
          <w:szCs w:val="21"/>
          <w14:textFill>
            <w14:solidFill>
              <w14:schemeClr w14:val="tx1"/>
            </w14:solidFill>
          </w14:textFill>
        </w:rPr>
      </w:pPr>
      <w:r>
        <w:rPr>
          <w:rFonts w:hint="eastAsia" w:ascii="仿宋_GB2312" w:hAnsi="仿宋_GB2312" w:eastAsia="仿宋_GB2312" w:cs="仿宋_GB2312"/>
          <w:b/>
          <w:bCs/>
          <w:color w:val="000000" w:themeColor="text1"/>
          <w:sz w:val="21"/>
          <w:szCs w:val="21"/>
          <w14:textFill>
            <w14:solidFill>
              <w14:schemeClr w14:val="tx1"/>
            </w14:solidFill>
          </w14:textFill>
        </w:rPr>
        <w:t>Ⅲ  课程内容与考核要求</w:t>
      </w:r>
    </w:p>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 xml:space="preserve">第一章  </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发展历程</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通过本章的学习，理解人类社会内部控制思想的萌芽——内部牵制的发展；了解美国内部控制与风险管理的发展历程；了解我国内部控制与风险管理的发展历程。掌握内部牵制理念，学会将这一理念用于企业内部控制制度设计；掌握中国企业内部控制制度的结构体系和内容构成，用于指导企业和行政事业单位的内部控制制度设计。</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二、课程内容</w:t>
      </w:r>
    </w:p>
    <w:p>
      <w:pPr>
        <w:keepNext w:val="0"/>
        <w:keepLines w:val="0"/>
        <w:pageBreakBefore w:val="0"/>
        <w:kinsoku/>
        <w:wordWrap/>
        <w:overflowPunct/>
        <w:topLinePunct w:val="0"/>
        <w:autoSpaceDE/>
        <w:autoSpaceDN/>
        <w:bidi w:val="0"/>
        <w:snapToGrid w:val="0"/>
        <w:spacing w:line="240" w:lineRule="auto"/>
        <w:ind w:right="0" w:rightChars="0"/>
        <w:jc w:val="left"/>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第一节 内部控制与风险管理的最初形态：内部牵制</w:t>
      </w:r>
    </w:p>
    <w:p>
      <w:pPr>
        <w:keepNext w:val="0"/>
        <w:keepLines w:val="0"/>
        <w:pageBreakBefore w:val="0"/>
        <w:kinsoku/>
        <w:wordWrap/>
        <w:overflowPunct/>
        <w:topLinePunct w:val="0"/>
        <w:autoSpaceDE/>
        <w:autoSpaceDN/>
        <w:bidi w:val="0"/>
        <w:snapToGrid w:val="0"/>
        <w:spacing w:line="240" w:lineRule="auto"/>
        <w:ind w:right="0" w:rightChars="0"/>
        <w:jc w:val="left"/>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 xml:space="preserve">（一）古代内部牵制思想的萌芽 </w:t>
      </w:r>
    </w:p>
    <w:p>
      <w:pPr>
        <w:keepNext w:val="0"/>
        <w:keepLines w:val="0"/>
        <w:pageBreakBefore w:val="0"/>
        <w:kinsoku/>
        <w:wordWrap/>
        <w:overflowPunct/>
        <w:topLinePunct w:val="0"/>
        <w:autoSpaceDE/>
        <w:autoSpaceDN/>
        <w:bidi w:val="0"/>
        <w:snapToGrid w:val="0"/>
        <w:spacing w:line="240" w:lineRule="auto"/>
        <w:ind w:right="0" w:rightChars="0"/>
        <w:jc w:val="left"/>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（二）近代内部牵制实践的发展</w:t>
      </w:r>
    </w:p>
    <w:p>
      <w:pPr>
        <w:keepNext w:val="0"/>
        <w:keepLines w:val="0"/>
        <w:pageBreakBefore w:val="0"/>
        <w:kinsoku/>
        <w:wordWrap/>
        <w:overflowPunct/>
        <w:topLinePunct w:val="0"/>
        <w:autoSpaceDE/>
        <w:autoSpaceDN/>
        <w:bidi w:val="0"/>
        <w:snapToGrid w:val="0"/>
        <w:spacing w:line="240" w:lineRule="auto"/>
        <w:ind w:right="0" w:rightChars="0"/>
        <w:jc w:val="left"/>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（三）内部牵制的核心构念与理论价值</w:t>
      </w:r>
    </w:p>
    <w:p>
      <w:pPr>
        <w:keepNext w:val="0"/>
        <w:keepLines w:val="0"/>
        <w:pageBreakBefore w:val="0"/>
        <w:kinsoku/>
        <w:wordWrap/>
        <w:overflowPunct/>
        <w:topLinePunct w:val="0"/>
        <w:autoSpaceDE/>
        <w:autoSpaceDN/>
        <w:bidi w:val="0"/>
        <w:snapToGrid w:val="0"/>
        <w:spacing w:line="240" w:lineRule="auto"/>
        <w:ind w:right="0" w:rightChars="0"/>
        <w:jc w:val="left"/>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第二节 美国内部控制与风险管理的发展历程</w:t>
      </w:r>
    </w:p>
    <w:p>
      <w:pPr>
        <w:keepNext w:val="0"/>
        <w:keepLines w:val="0"/>
        <w:pageBreakBefore w:val="0"/>
        <w:kinsoku/>
        <w:wordWrap/>
        <w:overflowPunct/>
        <w:topLinePunct w:val="0"/>
        <w:autoSpaceDE/>
        <w:autoSpaceDN/>
        <w:bidi w:val="0"/>
        <w:snapToGrid w:val="0"/>
        <w:spacing w:line="240" w:lineRule="auto"/>
        <w:ind w:right="0" w:rightChars="0"/>
        <w:jc w:val="left"/>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（一）内部控制制度阶段</w:t>
      </w:r>
    </w:p>
    <w:p>
      <w:pPr>
        <w:keepNext w:val="0"/>
        <w:keepLines w:val="0"/>
        <w:pageBreakBefore w:val="0"/>
        <w:kinsoku/>
        <w:wordWrap/>
        <w:overflowPunct/>
        <w:topLinePunct w:val="0"/>
        <w:autoSpaceDE/>
        <w:autoSpaceDN/>
        <w:bidi w:val="0"/>
        <w:snapToGrid w:val="0"/>
        <w:spacing w:line="240" w:lineRule="auto"/>
        <w:ind w:right="0" w:rightChars="0"/>
        <w:jc w:val="left"/>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（二）内部控制的结构阶段</w:t>
      </w:r>
    </w:p>
    <w:p>
      <w:pPr>
        <w:keepNext w:val="0"/>
        <w:keepLines w:val="0"/>
        <w:pageBreakBefore w:val="0"/>
        <w:kinsoku/>
        <w:wordWrap/>
        <w:overflowPunct/>
        <w:topLinePunct w:val="0"/>
        <w:autoSpaceDE/>
        <w:autoSpaceDN/>
        <w:bidi w:val="0"/>
        <w:snapToGrid w:val="0"/>
        <w:spacing w:line="240" w:lineRule="auto"/>
        <w:ind w:right="0" w:rightChars="0"/>
        <w:jc w:val="left"/>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（三）内部控制整合框架阶段</w:t>
      </w:r>
    </w:p>
    <w:p>
      <w:pPr>
        <w:keepNext w:val="0"/>
        <w:keepLines w:val="0"/>
        <w:pageBreakBefore w:val="0"/>
        <w:kinsoku/>
        <w:wordWrap/>
        <w:overflowPunct/>
        <w:topLinePunct w:val="0"/>
        <w:autoSpaceDE/>
        <w:autoSpaceDN/>
        <w:bidi w:val="0"/>
        <w:snapToGrid w:val="0"/>
        <w:spacing w:line="240" w:lineRule="auto"/>
        <w:ind w:right="0" w:rightChars="0"/>
        <w:jc w:val="left"/>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（四）风险管理整合框架阶段</w:t>
      </w:r>
    </w:p>
    <w:p>
      <w:pPr>
        <w:keepNext w:val="0"/>
        <w:keepLines w:val="0"/>
        <w:pageBreakBefore w:val="0"/>
        <w:kinsoku/>
        <w:wordWrap/>
        <w:overflowPunct/>
        <w:topLinePunct w:val="0"/>
        <w:autoSpaceDE/>
        <w:autoSpaceDN/>
        <w:bidi w:val="0"/>
        <w:snapToGrid w:val="0"/>
        <w:spacing w:line="240" w:lineRule="auto"/>
        <w:ind w:right="0" w:rightChars="0"/>
        <w:jc w:val="left"/>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（五）COSO内部控制的进展</w:t>
      </w:r>
    </w:p>
    <w:p>
      <w:pPr>
        <w:keepNext w:val="0"/>
        <w:keepLines w:val="0"/>
        <w:pageBreakBefore w:val="0"/>
        <w:kinsoku/>
        <w:wordWrap/>
        <w:overflowPunct/>
        <w:topLinePunct w:val="0"/>
        <w:autoSpaceDE/>
        <w:autoSpaceDN/>
        <w:bidi w:val="0"/>
        <w:snapToGrid w:val="0"/>
        <w:spacing w:line="240" w:lineRule="auto"/>
        <w:ind w:right="0" w:rightChars="0"/>
        <w:jc w:val="left"/>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第三节 中国内部控制与风险管理的发展历程</w:t>
      </w:r>
    </w:p>
    <w:p>
      <w:pPr>
        <w:keepNext w:val="0"/>
        <w:keepLines w:val="0"/>
        <w:pageBreakBefore w:val="0"/>
        <w:kinsoku/>
        <w:wordWrap/>
        <w:overflowPunct/>
        <w:topLinePunct w:val="0"/>
        <w:autoSpaceDE/>
        <w:autoSpaceDN/>
        <w:bidi w:val="0"/>
        <w:snapToGrid w:val="0"/>
        <w:spacing w:line="240" w:lineRule="auto"/>
        <w:ind w:right="0" w:rightChars="0"/>
        <w:jc w:val="left"/>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（一）起步阶段</w:t>
      </w:r>
    </w:p>
    <w:p>
      <w:pPr>
        <w:keepNext w:val="0"/>
        <w:keepLines w:val="0"/>
        <w:pageBreakBefore w:val="0"/>
        <w:kinsoku/>
        <w:wordWrap/>
        <w:overflowPunct/>
        <w:topLinePunct w:val="0"/>
        <w:autoSpaceDE/>
        <w:autoSpaceDN/>
        <w:bidi w:val="0"/>
        <w:snapToGrid w:val="0"/>
        <w:spacing w:line="240" w:lineRule="auto"/>
        <w:ind w:right="0" w:rightChars="0"/>
        <w:jc w:val="left"/>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（二）探索阶段</w:t>
      </w:r>
    </w:p>
    <w:p>
      <w:pPr>
        <w:keepNext w:val="0"/>
        <w:keepLines w:val="0"/>
        <w:pageBreakBefore w:val="0"/>
        <w:kinsoku/>
        <w:wordWrap/>
        <w:overflowPunct/>
        <w:topLinePunct w:val="0"/>
        <w:autoSpaceDE/>
        <w:autoSpaceDN/>
        <w:bidi w:val="0"/>
        <w:snapToGrid w:val="0"/>
        <w:spacing w:line="240" w:lineRule="auto"/>
        <w:ind w:right="0" w:rightChars="0"/>
        <w:jc w:val="left"/>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（三）建设阶段</w:t>
      </w:r>
    </w:p>
    <w:p>
      <w:pPr>
        <w:keepNext w:val="0"/>
        <w:keepLines w:val="0"/>
        <w:pageBreakBefore w:val="0"/>
        <w:kinsoku/>
        <w:wordWrap/>
        <w:overflowPunct/>
        <w:topLinePunct w:val="0"/>
        <w:autoSpaceDE/>
        <w:autoSpaceDN/>
        <w:bidi w:val="0"/>
        <w:snapToGrid w:val="0"/>
        <w:spacing w:line="240" w:lineRule="auto"/>
        <w:ind w:right="0" w:rightChars="0"/>
        <w:jc w:val="left"/>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（四）体系化阶段</w:t>
      </w:r>
    </w:p>
    <w:p>
      <w:pPr>
        <w:keepNext w:val="0"/>
        <w:keepLines w:val="0"/>
        <w:pageBreakBefore w:val="0"/>
        <w:kinsoku/>
        <w:wordWrap/>
        <w:overflowPunct/>
        <w:topLinePunct w:val="0"/>
        <w:autoSpaceDE/>
        <w:autoSpaceDN/>
        <w:bidi w:val="0"/>
        <w:snapToGrid w:val="0"/>
        <w:spacing w:line="240" w:lineRule="auto"/>
        <w:ind w:right="0" w:rightChars="0"/>
        <w:jc w:val="left"/>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（五）完善阶段</w:t>
      </w:r>
    </w:p>
    <w:p>
      <w:pPr>
        <w:keepNext w:val="0"/>
        <w:keepLines w:val="0"/>
        <w:pageBreakBefore w:val="0"/>
        <w:kinsoku/>
        <w:wordWrap/>
        <w:overflowPunct/>
        <w:topLinePunct w:val="0"/>
        <w:autoSpaceDE/>
        <w:autoSpaceDN/>
        <w:bidi w:val="0"/>
        <w:snapToGrid w:val="0"/>
        <w:spacing w:line="240" w:lineRule="auto"/>
        <w:ind w:right="0" w:rightChars="0"/>
        <w:jc w:val="left"/>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（六）与推进内部控制相关的法规建设</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（一）内部控制与风险管理的最初形态：内部牵制</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识记：古代内部牵制思想的萌芽；近代内部牵制实践的发展</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领会：内部牵制的核心构念与理论价值</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（二）美国内部控制与风险管理的发展历程</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识记：内部控制制度阶段；内部控制的结构阶段；内部控制整合框架阶段；风险管理整合框架阶段；COSO内部控制的进展</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（三）中国内部控制与风险管理的发展历程</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识记：起步阶段；探索阶段；建设阶段；体系化阶段；完善阶段</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领会：中国企业内部控制制度的结构体系和内容构成</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四、本章重点和难点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本章的重点是内部牵制的核心构念与理论价值；中国企业内部控制制度的结构体系和内容构成，难点是中国企业内部控制制度的结构体系和内容构成。</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p>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第二章  COSO框架</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通过本章的学习，理解内部控制整合框架和风险管理整合框架；了解内部控制整合框架和风险管理整合框架的联系与区别；了解内部控制整合框架和风险管理整合框架的修订与完善。</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二、课程内容</w:t>
      </w:r>
    </w:p>
    <w:p>
      <w:pPr>
        <w:keepNext w:val="0"/>
        <w:keepLines w:val="0"/>
        <w:pageBreakBefore w:val="0"/>
        <w:kinsoku/>
        <w:wordWrap/>
        <w:overflowPunct/>
        <w:topLinePunct w:val="0"/>
        <w:autoSpaceDE/>
        <w:autoSpaceDN/>
        <w:bidi w:val="0"/>
        <w:snapToGrid w:val="0"/>
        <w:spacing w:line="240" w:lineRule="auto"/>
        <w:ind w:right="0" w:rightChars="0"/>
        <w:jc w:val="both"/>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第一节 内部控制整合框架</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（一）内部控制的定义</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（二）内部控制的要素</w:t>
      </w:r>
    </w:p>
    <w:p>
      <w:pPr>
        <w:keepNext w:val="0"/>
        <w:keepLines w:val="0"/>
        <w:pageBreakBefore w:val="0"/>
        <w:kinsoku/>
        <w:wordWrap/>
        <w:overflowPunct/>
        <w:topLinePunct w:val="0"/>
        <w:autoSpaceDE/>
        <w:autoSpaceDN/>
        <w:bidi w:val="0"/>
        <w:snapToGrid w:val="0"/>
        <w:spacing w:line="240" w:lineRule="auto"/>
        <w:ind w:right="0" w:rightChars="0"/>
        <w:jc w:val="both"/>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第二节 风险管理整合框架</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（一）风险管理的定义</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（二）风险管理整理框架的目标</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（三）风险管理整合框架的要素</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（四）对风险管理整合框架的评价</w:t>
      </w:r>
    </w:p>
    <w:p>
      <w:pPr>
        <w:keepNext w:val="0"/>
        <w:keepLines w:val="0"/>
        <w:pageBreakBefore w:val="0"/>
        <w:kinsoku/>
        <w:wordWrap/>
        <w:overflowPunct/>
        <w:topLinePunct w:val="0"/>
        <w:autoSpaceDE/>
        <w:autoSpaceDN/>
        <w:bidi w:val="0"/>
        <w:snapToGrid w:val="0"/>
        <w:spacing w:line="240" w:lineRule="auto"/>
        <w:ind w:right="0" w:rightChars="0"/>
        <w:jc w:val="left"/>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（五）风险管理整合框架的局限性</w:t>
      </w:r>
    </w:p>
    <w:p>
      <w:pPr>
        <w:keepNext w:val="0"/>
        <w:keepLines w:val="0"/>
        <w:pageBreakBefore w:val="0"/>
        <w:kinsoku/>
        <w:wordWrap/>
        <w:overflowPunct/>
        <w:topLinePunct w:val="0"/>
        <w:autoSpaceDE/>
        <w:autoSpaceDN/>
        <w:bidi w:val="0"/>
        <w:snapToGrid w:val="0"/>
        <w:spacing w:line="240" w:lineRule="auto"/>
        <w:ind w:right="0" w:rightChars="0"/>
        <w:jc w:val="both"/>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第三节 内部控制整合框架与风险管理整合框架的比较</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（一）引入风险组合观</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（二）新增战略目标并扩大了报告目标的范畴</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（三）引入两个新的概念--风险偏好和风险容忍度</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（四）新增风险管理三要素--目标设定、事项识别、风险应对</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（五）将“控制环境”改为“内部环境”</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（六）拓展了“信息与沟通”要素</w:t>
      </w:r>
    </w:p>
    <w:p>
      <w:pPr>
        <w:keepNext w:val="0"/>
        <w:keepLines w:val="0"/>
        <w:pageBreakBefore w:val="0"/>
        <w:kinsoku/>
        <w:wordWrap/>
        <w:overflowPunct/>
        <w:topLinePunct w:val="0"/>
        <w:autoSpaceDE/>
        <w:autoSpaceDN/>
        <w:bidi w:val="0"/>
        <w:snapToGrid w:val="0"/>
        <w:spacing w:line="240" w:lineRule="auto"/>
        <w:ind w:right="0" w:rightChars="0"/>
        <w:jc w:val="both"/>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第四节 COSO内部控制与风险管理框架的修订与完善</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（一）2013年版《内部控制—整合框架》</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（二）2017年版《企业风险管理—与战略和业绩的整合》</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（三）COSO内部控制与风险管理新框架对我国的影响</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（一）内部控制整合框架</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识记：内部控制的定义</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领会：内部控制的要素</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（二）风险管理整合框架</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识记：风险管理的定义；对风险管理整合框架的评价；风险管理整合框架的局限性</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领会：风险管理整理框架的目标；风险管理整合框架的要素</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（三）内部控制整合框架与风险管理整合框架的比较</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引入风险组合观；新增战略目标并扩大了报告目标的范畴；引入两个新的概念--风险偏好和风险容忍度；新增风险管理三要素--目标设定、事项识别、风险应对；将“控制环境”改为“内部环境”；拓展了“信息与沟通”要素</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（四）COSO内部控制与风险管理框架的修订与完善</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识记：2013年版《内部控制—整合框架》； 2017年版《企业风险管理—与战略和业绩的整合》；COSO内部控制与风险管理新框架对我国的影响</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四、本章重点和难点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本章的重点是内部控制整合框架；风险管理整合框架，难点是风险管理整合框架。</w:t>
      </w:r>
    </w:p>
    <w:p>
      <w:pPr>
        <w:keepNext w:val="0"/>
        <w:keepLines w:val="0"/>
        <w:pageBreakBefore w:val="0"/>
        <w:kinsoku/>
        <w:wordWrap/>
        <w:overflowPunct/>
        <w:topLinePunct w:val="0"/>
        <w:autoSpaceDE/>
        <w:autoSpaceDN/>
        <w:bidi w:val="0"/>
        <w:snapToGrid w:val="0"/>
        <w:spacing w:line="240" w:lineRule="auto"/>
        <w:ind w:left="480"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p>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第三章  中国标准</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通过本章的学习，了解《中央企业全面风险管理指引》的主要内容；了解《企业内部控制基本规范》及其配套指引的内容和特点。掌握我国企业内部控制规范体系的基本框架结构</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二、课程内容</w:t>
      </w:r>
    </w:p>
    <w:p>
      <w:pPr>
        <w:keepNext w:val="0"/>
        <w:keepLines w:val="0"/>
        <w:pageBreakBefore w:val="0"/>
        <w:kinsoku/>
        <w:wordWrap/>
        <w:overflowPunct/>
        <w:topLinePunct w:val="0"/>
        <w:autoSpaceDE/>
        <w:autoSpaceDN/>
        <w:bidi w:val="0"/>
        <w:snapToGrid w:val="0"/>
        <w:spacing w:line="240" w:lineRule="auto"/>
        <w:ind w:right="0" w:rightChars="0"/>
        <w:jc w:val="both"/>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第一节 《中央企业全面风险管理指引》</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（一）出台背景</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（二）主要内容</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（三）评价解析</w:t>
      </w:r>
    </w:p>
    <w:p>
      <w:pPr>
        <w:keepNext w:val="0"/>
        <w:keepLines w:val="0"/>
        <w:pageBreakBefore w:val="0"/>
        <w:kinsoku/>
        <w:wordWrap/>
        <w:overflowPunct/>
        <w:topLinePunct w:val="0"/>
        <w:autoSpaceDE/>
        <w:autoSpaceDN/>
        <w:bidi w:val="0"/>
        <w:snapToGrid w:val="0"/>
        <w:spacing w:line="240" w:lineRule="auto"/>
        <w:ind w:right="0" w:rightChars="0"/>
        <w:jc w:val="both"/>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第二节 《企业内部控制基本规范》</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（一）出台背景</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（二）主要内容</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（三）评价解析</w:t>
      </w:r>
    </w:p>
    <w:p>
      <w:pPr>
        <w:keepNext w:val="0"/>
        <w:keepLines w:val="0"/>
        <w:pageBreakBefore w:val="0"/>
        <w:kinsoku/>
        <w:wordWrap/>
        <w:overflowPunct/>
        <w:topLinePunct w:val="0"/>
        <w:autoSpaceDE/>
        <w:autoSpaceDN/>
        <w:bidi w:val="0"/>
        <w:snapToGrid w:val="0"/>
        <w:spacing w:line="240" w:lineRule="auto"/>
        <w:ind w:right="0" w:rightChars="0"/>
        <w:jc w:val="both"/>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第三节 企业内部控制配套指引</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（一）出台背景</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（二）主要内容</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（三）评价解析</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（四）企业内部控制规范体系</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（一）《中央企业全面风险管理指引》</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识记：《中央企业全面风险管理指引》出台背景；主要内容；评价解析</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（二）《企业内部控制基本规范》</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识记：《企业内部控制基本规范》出台背景；主要内容；评价解析</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（三）企业内部控制配套指引</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识记：企业内部控制配套指引的出台背景；主要内容；评价解析</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领会：企业内部控制规范体系</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四、本章重点和难点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本章的重点是《中央企业全面风险管理指引》的主要内容；《企业内部控制基本规范》的主要内容；企业内部控制配套指引的主要内容；企业内部控制的规范体系；难点是企业内部控制的规范体系。</w:t>
      </w:r>
    </w:p>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第四章  内部环境</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通过本章的学习，理解组织架构的组成，熟悉企业发展战略的制定、实施过程，了解人力资源政策的内容，理解企业履行社会责任、加强企业文化建设的意义。</w:t>
      </w:r>
      <w:r>
        <w:rPr>
          <w:rFonts w:hint="eastAsia" w:ascii="仿宋_GB2312" w:hAnsi="仿宋_GB2312" w:eastAsia="仿宋_GB2312" w:cs="仿宋_GB2312"/>
          <w:b w:val="0"/>
          <w:bCs w:val="0"/>
          <w:color w:val="000000" w:themeColor="text1"/>
          <w:kern w:val="0"/>
          <w:sz w:val="21"/>
          <w:szCs w:val="21"/>
          <w14:textFill>
            <w14:solidFill>
              <w14:schemeClr w14:val="tx1"/>
            </w14:solidFill>
          </w14:textFill>
        </w:rPr>
        <w:t>掌握组织架构设计与运行的要求。</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二、课程内容</w:t>
      </w:r>
    </w:p>
    <w:p>
      <w:pPr>
        <w:keepNext w:val="0"/>
        <w:keepLines w:val="0"/>
        <w:pageBreakBefore w:val="0"/>
        <w:kinsoku/>
        <w:wordWrap/>
        <w:overflowPunct/>
        <w:topLinePunct w:val="0"/>
        <w:autoSpaceDE/>
        <w:autoSpaceDN/>
        <w:bidi w:val="0"/>
        <w:snapToGrid w:val="0"/>
        <w:spacing w:line="240" w:lineRule="auto"/>
        <w:ind w:right="0" w:rightChars="0"/>
        <w:jc w:val="both"/>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第一节 组织架构</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（一）组织架构设计的意义</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（二）企业组织架构的定义</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（三）组织架构的设计</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（四）组织架构的运行</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（五）组织架构设计与运行中存在的风险</w:t>
      </w:r>
    </w:p>
    <w:p>
      <w:pPr>
        <w:keepNext w:val="0"/>
        <w:keepLines w:val="0"/>
        <w:pageBreakBefore w:val="0"/>
        <w:kinsoku/>
        <w:wordWrap/>
        <w:overflowPunct/>
        <w:topLinePunct w:val="0"/>
        <w:autoSpaceDE/>
        <w:autoSpaceDN/>
        <w:bidi w:val="0"/>
        <w:snapToGrid w:val="0"/>
        <w:spacing w:line="240" w:lineRule="auto"/>
        <w:ind w:right="0" w:rightChars="0"/>
        <w:jc w:val="both"/>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第二节 发展战略</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（一）制定发展战略的意义</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（二）发展战略的制定</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（三）发展战略的实施</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（四）企业制定与实施发展战略存在的风险</w:t>
      </w:r>
    </w:p>
    <w:p>
      <w:pPr>
        <w:keepNext w:val="0"/>
        <w:keepLines w:val="0"/>
        <w:pageBreakBefore w:val="0"/>
        <w:kinsoku/>
        <w:wordWrap/>
        <w:overflowPunct/>
        <w:topLinePunct w:val="0"/>
        <w:autoSpaceDE/>
        <w:autoSpaceDN/>
        <w:bidi w:val="0"/>
        <w:snapToGrid w:val="0"/>
        <w:spacing w:line="240" w:lineRule="auto"/>
        <w:ind w:right="0" w:rightChars="0"/>
        <w:jc w:val="both"/>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第三节 人力资源</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（一）人力资源对企业发展的重要意义</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（二）人力资源管理的主要内容</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（三）人力资源管理风险</w:t>
      </w:r>
    </w:p>
    <w:p>
      <w:pPr>
        <w:keepNext w:val="0"/>
        <w:keepLines w:val="0"/>
        <w:pageBreakBefore w:val="0"/>
        <w:kinsoku/>
        <w:wordWrap/>
        <w:overflowPunct/>
        <w:topLinePunct w:val="0"/>
        <w:autoSpaceDE/>
        <w:autoSpaceDN/>
        <w:bidi w:val="0"/>
        <w:snapToGrid w:val="0"/>
        <w:spacing w:line="240" w:lineRule="auto"/>
        <w:ind w:right="0" w:rightChars="0"/>
        <w:jc w:val="both"/>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第四节 社会责任</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（一）企业履行社会责任的意义</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（二）企业履行社会责任应关注的主要风险</w:t>
      </w:r>
    </w:p>
    <w:p>
      <w:pPr>
        <w:keepNext w:val="0"/>
        <w:keepLines w:val="0"/>
        <w:pageBreakBefore w:val="0"/>
        <w:kinsoku/>
        <w:wordWrap/>
        <w:overflowPunct/>
        <w:topLinePunct w:val="0"/>
        <w:autoSpaceDE/>
        <w:autoSpaceDN/>
        <w:bidi w:val="0"/>
        <w:snapToGrid w:val="0"/>
        <w:spacing w:line="240" w:lineRule="auto"/>
        <w:ind w:right="0" w:rightChars="0"/>
        <w:jc w:val="both"/>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bookmarkStart w:id="1" w:name="_Hlk130922808"/>
      <w:r>
        <w:rPr>
          <w:rFonts w:hint="eastAsia" w:ascii="仿宋_GB2312" w:hAnsi="仿宋_GB2312" w:eastAsia="仿宋_GB2312" w:cs="仿宋_GB2312"/>
          <w:b w:val="0"/>
          <w:bCs w:val="0"/>
          <w:color w:val="000000" w:themeColor="text1"/>
          <w:sz w:val="21"/>
          <w:szCs w:val="21"/>
          <w14:textFill>
            <w14:solidFill>
              <w14:schemeClr w14:val="tx1"/>
            </w14:solidFill>
          </w14:textFill>
        </w:rPr>
        <w:t>第五节 企业文化</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（一）企业文化建设的意义</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（二）企业文化建设应关注的主要风险</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（三）企业文化建设的要点</w:t>
      </w:r>
    </w:p>
    <w:bookmarkEnd w:id="1"/>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（一）组织架构</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bookmarkStart w:id="2" w:name="_Hlk130923101"/>
      <w:r>
        <w:rPr>
          <w:rFonts w:hint="eastAsia" w:ascii="仿宋_GB2312" w:hAnsi="仿宋_GB2312" w:eastAsia="仿宋_GB2312" w:cs="仿宋_GB2312"/>
          <w:b w:val="0"/>
          <w:bCs w:val="0"/>
          <w:color w:val="000000" w:themeColor="text1"/>
          <w:sz w:val="21"/>
          <w:szCs w:val="21"/>
          <w14:textFill>
            <w14:solidFill>
              <w14:schemeClr w14:val="tx1"/>
            </w14:solidFill>
          </w14:textFill>
        </w:rPr>
        <w:t>识记：</w:t>
      </w:r>
      <w:bookmarkEnd w:id="2"/>
      <w:r>
        <w:rPr>
          <w:rFonts w:hint="eastAsia" w:ascii="仿宋_GB2312" w:hAnsi="仿宋_GB2312" w:eastAsia="仿宋_GB2312" w:cs="仿宋_GB2312"/>
          <w:b w:val="0"/>
          <w:bCs w:val="0"/>
          <w:color w:val="000000" w:themeColor="text1"/>
          <w:sz w:val="21"/>
          <w:szCs w:val="21"/>
          <w14:textFill>
            <w14:solidFill>
              <w14:schemeClr w14:val="tx1"/>
            </w14:solidFill>
          </w14:textFill>
        </w:rPr>
        <w:t>组织架构设计的意义；组织架构设计与运行中存在的风险</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bookmarkStart w:id="3" w:name="_Hlk130923122"/>
      <w:r>
        <w:rPr>
          <w:rFonts w:hint="eastAsia" w:ascii="仿宋_GB2312" w:hAnsi="仿宋_GB2312" w:eastAsia="仿宋_GB2312" w:cs="仿宋_GB2312"/>
          <w:b w:val="0"/>
          <w:bCs w:val="0"/>
          <w:color w:val="000000" w:themeColor="text1"/>
          <w:sz w:val="21"/>
          <w:szCs w:val="21"/>
          <w14:textFill>
            <w14:solidFill>
              <w14:schemeClr w14:val="tx1"/>
            </w14:solidFill>
          </w14:textFill>
        </w:rPr>
        <w:t>领会：</w:t>
      </w:r>
      <w:bookmarkEnd w:id="3"/>
      <w:r>
        <w:rPr>
          <w:rFonts w:hint="eastAsia" w:ascii="仿宋_GB2312" w:hAnsi="仿宋_GB2312" w:eastAsia="仿宋_GB2312" w:cs="仿宋_GB2312"/>
          <w:b w:val="0"/>
          <w:bCs w:val="0"/>
          <w:color w:val="000000" w:themeColor="text1"/>
          <w:sz w:val="21"/>
          <w:szCs w:val="21"/>
          <w14:textFill>
            <w14:solidFill>
              <w14:schemeClr w14:val="tx1"/>
            </w14:solidFill>
          </w14:textFill>
        </w:rPr>
        <w:t>企业组织架构的定义</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w:t>
      </w:r>
      <w:bookmarkStart w:id="4" w:name="_Hlk130973720"/>
      <w:r>
        <w:rPr>
          <w:rFonts w:hint="eastAsia" w:ascii="仿宋_GB2312" w:hAnsi="仿宋_GB2312" w:eastAsia="仿宋_GB2312" w:cs="仿宋_GB2312"/>
          <w:b w:val="0"/>
          <w:bCs w:val="0"/>
          <w:color w:val="000000" w:themeColor="text1"/>
          <w:sz w:val="21"/>
          <w:szCs w:val="21"/>
          <w14:textFill>
            <w14:solidFill>
              <w14:schemeClr w14:val="tx1"/>
            </w14:solidFill>
          </w14:textFill>
        </w:rPr>
        <w:t>组织架构的设计；组织架构的运行</w:t>
      </w:r>
      <w:bookmarkEnd w:id="4"/>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（二）发展战略</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识记：制定发展战略的意义；企业制定与实施发展战略存在的风险</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领会：发展战略的制定；发展战略的实施</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（三）人力资源</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识记：人力资源对企业发展的重要意义</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领会：人力资源管理的主要内容；人力资源管理风险</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（四）社会责任</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识记：企业履行社会责任的意义</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领会：企业履行社会责任应关注的主要风险</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（五）企业文化</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识记：企业文化建设的意义</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领会：企业文化建设应关注的主要风险；企业文化建设的要点</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四、本章重点和难点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本章的重点是组织架构的设计；组织架构的运行；发展战略的实施；人力资源管理的主要内容。难点是</w:t>
      </w:r>
      <w:bookmarkStart w:id="5" w:name="_Hlk130973739"/>
      <w:r>
        <w:rPr>
          <w:rFonts w:hint="eastAsia" w:ascii="仿宋_GB2312" w:hAnsi="仿宋_GB2312" w:eastAsia="仿宋_GB2312" w:cs="仿宋_GB2312"/>
          <w:b w:val="0"/>
          <w:bCs w:val="0"/>
          <w:color w:val="000000" w:themeColor="text1"/>
          <w:sz w:val="21"/>
          <w:szCs w:val="21"/>
          <w14:textFill>
            <w14:solidFill>
              <w14:schemeClr w14:val="tx1"/>
            </w14:solidFill>
          </w14:textFill>
        </w:rPr>
        <w:t>组织架构的设计及组织架构的运行</w:t>
      </w:r>
      <w:bookmarkEnd w:id="5"/>
      <w:r>
        <w:rPr>
          <w:rFonts w:hint="eastAsia" w:ascii="仿宋_GB2312" w:hAnsi="仿宋_GB2312" w:eastAsia="仿宋_GB2312" w:cs="仿宋_GB2312"/>
          <w:b w:val="0"/>
          <w:bCs w:val="0"/>
          <w:color w:val="000000" w:themeColor="text1"/>
          <w:sz w:val="21"/>
          <w:szCs w:val="21"/>
          <w14:textFill>
            <w14:solidFill>
              <w14:schemeClr w14:val="tx1"/>
            </w14:solidFill>
          </w14:textFill>
        </w:rPr>
        <w:t>。</w:t>
      </w:r>
    </w:p>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p>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第五章  风险识别</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通过本章的学习，熟悉企业内部风险与外部风险，了解风险识别的流程，理解风险识别方法的原理。掌握并应用财务报表分析法、流程图分析法、因果图分析法、风险清单分析法等识别企业风险。</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二、课程内容</w:t>
      </w:r>
    </w:p>
    <w:p>
      <w:pPr>
        <w:keepNext w:val="0"/>
        <w:keepLines w:val="0"/>
        <w:pageBreakBefore w:val="0"/>
        <w:kinsoku/>
        <w:wordWrap/>
        <w:overflowPunct/>
        <w:topLinePunct w:val="0"/>
        <w:autoSpaceDE/>
        <w:autoSpaceDN/>
        <w:bidi w:val="0"/>
        <w:snapToGrid w:val="0"/>
        <w:spacing w:line="240" w:lineRule="auto"/>
        <w:ind w:right="0" w:rightChars="0"/>
        <w:jc w:val="both"/>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第一节 风险识别的内容</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（一）内部风险</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（二）外部风险</w:t>
      </w:r>
    </w:p>
    <w:p>
      <w:pPr>
        <w:keepNext w:val="0"/>
        <w:keepLines w:val="0"/>
        <w:pageBreakBefore w:val="0"/>
        <w:kinsoku/>
        <w:wordWrap/>
        <w:overflowPunct/>
        <w:topLinePunct w:val="0"/>
        <w:autoSpaceDE/>
        <w:autoSpaceDN/>
        <w:bidi w:val="0"/>
        <w:snapToGrid w:val="0"/>
        <w:spacing w:line="240" w:lineRule="auto"/>
        <w:ind w:right="0" w:rightChars="0"/>
        <w:jc w:val="both"/>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第二节 风险识别的流程</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（一）发现风险</w:t>
      </w:r>
      <w:r>
        <w:rPr>
          <w:rFonts w:hint="eastAsia" w:ascii="仿宋_GB2312" w:hAnsi="仿宋_GB2312" w:eastAsia="仿宋_GB2312" w:cs="仿宋_GB2312"/>
          <w:b w:val="0"/>
          <w:bCs w:val="0"/>
          <w:color w:val="000000" w:themeColor="text1"/>
          <w:sz w:val="21"/>
          <w:szCs w:val="21"/>
          <w:lang w:val="en-US" w:eastAsia="zh-CN"/>
          <w14:textFill>
            <w14:solidFill>
              <w14:schemeClr w14:val="tx1"/>
            </w14:solidFill>
          </w14:textFill>
        </w:rPr>
        <w:t>因素</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（二）认知风险因素</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（三）预见危害</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（四）重视风险暴露</w:t>
      </w:r>
    </w:p>
    <w:p>
      <w:pPr>
        <w:keepNext w:val="0"/>
        <w:keepLines w:val="0"/>
        <w:pageBreakBefore w:val="0"/>
        <w:kinsoku/>
        <w:wordWrap/>
        <w:overflowPunct/>
        <w:topLinePunct w:val="0"/>
        <w:autoSpaceDE/>
        <w:autoSpaceDN/>
        <w:bidi w:val="0"/>
        <w:snapToGrid w:val="0"/>
        <w:spacing w:line="240" w:lineRule="auto"/>
        <w:ind w:right="0" w:rightChars="0"/>
        <w:jc w:val="both"/>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第三节 风险识别的方法</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（一）财务报表分析法</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（二）流程图分析法</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（三）事件树分析法</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（四）因果图分析法</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（五）现场调查法</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（六）风险清单分析法</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（七）其他风险识别方法</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（一）风险识别的内容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领会：内部风险；外部风险</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（二）风险识别的流程</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bookmarkStart w:id="6" w:name="_Hlk130975338"/>
      <w:r>
        <w:rPr>
          <w:rFonts w:hint="eastAsia" w:ascii="仿宋_GB2312" w:hAnsi="仿宋_GB2312" w:eastAsia="仿宋_GB2312" w:cs="仿宋_GB2312"/>
          <w:b w:val="0"/>
          <w:bCs w:val="0"/>
          <w:color w:val="000000" w:themeColor="text1"/>
          <w:sz w:val="21"/>
          <w:szCs w:val="21"/>
          <w14:textFill>
            <w14:solidFill>
              <w14:schemeClr w14:val="tx1"/>
            </w14:solidFill>
          </w14:textFill>
        </w:rPr>
        <w:t>识记：</w:t>
      </w:r>
      <w:bookmarkEnd w:id="6"/>
      <w:r>
        <w:rPr>
          <w:rFonts w:hint="eastAsia" w:ascii="仿宋_GB2312" w:hAnsi="仿宋_GB2312" w:eastAsia="仿宋_GB2312" w:cs="仿宋_GB2312"/>
          <w:b w:val="0"/>
          <w:bCs w:val="0"/>
          <w:color w:val="000000" w:themeColor="text1"/>
          <w:sz w:val="21"/>
          <w:szCs w:val="21"/>
          <w14:textFill>
            <w14:solidFill>
              <w14:schemeClr w14:val="tx1"/>
            </w14:solidFill>
          </w14:textFill>
        </w:rPr>
        <w:t>发现风险；认知风险因素；预见危害；重视风险暴露</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（三）风险识别的方法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识记：其他风险识别方法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应用：财务报表分析法；流程图分析法；事件树分析法；因果图分析法；现场调查法；风险清单分析法</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四、本章重点和难点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本章的重点是企业内部风险；外部风险；风险识别的方法。难点是风险识别的方法。</w:t>
      </w:r>
    </w:p>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p>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第六章  风险分析</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通过本章的学习，理解风险因素分析、风险发生的可能性和影响程度分析以及风险之间的关系分析的内容，了解风险分析的流程，熟悉风险分析的主要方法。掌握风险矩阵、敏感性分析、情景分析、关键风险指标法等风险分析的主要方法，学会应用这些方法分析风险。</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二、课程内容</w:t>
      </w:r>
    </w:p>
    <w:p>
      <w:pPr>
        <w:keepNext w:val="0"/>
        <w:keepLines w:val="0"/>
        <w:pageBreakBefore w:val="0"/>
        <w:kinsoku/>
        <w:wordWrap/>
        <w:overflowPunct/>
        <w:topLinePunct w:val="0"/>
        <w:autoSpaceDE/>
        <w:autoSpaceDN/>
        <w:bidi w:val="0"/>
        <w:snapToGrid w:val="0"/>
        <w:spacing w:line="240" w:lineRule="auto"/>
        <w:ind w:right="0" w:rightChars="0"/>
        <w:jc w:val="both"/>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第一节 风险分析的内容</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（一）风险因素分析</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（二）风险发生的可能性和影响程度分析</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（三）风险分析的流程</w:t>
      </w:r>
    </w:p>
    <w:p>
      <w:pPr>
        <w:keepNext w:val="0"/>
        <w:keepLines w:val="0"/>
        <w:pageBreakBefore w:val="0"/>
        <w:kinsoku/>
        <w:wordWrap/>
        <w:overflowPunct/>
        <w:topLinePunct w:val="0"/>
        <w:autoSpaceDE/>
        <w:autoSpaceDN/>
        <w:bidi w:val="0"/>
        <w:snapToGrid w:val="0"/>
        <w:spacing w:line="240" w:lineRule="auto"/>
        <w:ind w:right="0" w:rightChars="0"/>
        <w:jc w:val="both"/>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第二节 风险分析的流程</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（一）分析策划</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（二）收集风险数据</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（三）选择分析技术和方法</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（四）综合分析实施</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（五）撰写风险分析报告</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（六）建立风险分析数据库</w:t>
      </w:r>
    </w:p>
    <w:p>
      <w:pPr>
        <w:keepNext w:val="0"/>
        <w:keepLines w:val="0"/>
        <w:pageBreakBefore w:val="0"/>
        <w:kinsoku/>
        <w:wordWrap/>
        <w:overflowPunct/>
        <w:topLinePunct w:val="0"/>
        <w:autoSpaceDE/>
        <w:autoSpaceDN/>
        <w:bidi w:val="0"/>
        <w:snapToGrid w:val="0"/>
        <w:spacing w:line="240" w:lineRule="auto"/>
        <w:ind w:right="0" w:rightChars="0"/>
        <w:jc w:val="both"/>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第三节 风险分析的方法</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（一）风险矩阵</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（二）敏感性分析</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（三）情景分析</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（四）关键风险指标法</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（五）风险分析的其他方法</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（一）风险分析的内容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领会：风险因素分析；风险发生的可能性和影响程度分析；风险分析的流程</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（二）风险分析的流程</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识记：分析策划；收集风险数据；选择分析技术和方法；综合分析实施；撰写风险分析报告；建立风险分析数据库</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（三）风险分析的方法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应用：风险矩阵；敏感性分析；情景分析；关键风险指标法；风险分析的其他方法</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四、本章重点和难点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本章的重点是风险分析的方法</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，如风险</w:t>
      </w:r>
      <w:r>
        <w:rPr>
          <w:rFonts w:hint="eastAsia" w:ascii="仿宋_GB2312" w:hAnsi="仿宋_GB2312" w:eastAsia="仿宋_GB2312" w:cs="仿宋_GB2312"/>
          <w:b w:val="0"/>
          <w:bCs w:val="0"/>
          <w:color w:val="000000" w:themeColor="text1"/>
          <w:sz w:val="21"/>
          <w:szCs w:val="21"/>
          <w:lang w:val="en-US" w:eastAsia="zh-CN"/>
          <w14:textFill>
            <w14:solidFill>
              <w14:schemeClr w14:val="tx1"/>
            </w14:solidFill>
          </w14:textFill>
        </w:rPr>
        <w:t>矩阵</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原理、应用步骤及评价</w:t>
      </w:r>
      <w:r>
        <w:rPr>
          <w:rFonts w:hint="eastAsia" w:ascii="仿宋_GB2312" w:hAnsi="仿宋_GB2312" w:eastAsia="仿宋_GB2312" w:cs="仿宋_GB2312"/>
          <w:b w:val="0"/>
          <w:bCs w:val="0"/>
          <w:color w:val="000000" w:themeColor="text1"/>
          <w:sz w:val="21"/>
          <w:szCs w:val="21"/>
          <w14:textFill>
            <w14:solidFill>
              <w14:schemeClr w14:val="tx1"/>
            </w14:solidFill>
          </w14:textFill>
        </w:rPr>
        <w:t>；难点是风险分析的</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敏感性分析</w:t>
      </w:r>
      <w:r>
        <w:rPr>
          <w:rFonts w:hint="eastAsia" w:ascii="仿宋_GB2312" w:hAnsi="仿宋_GB2312" w:eastAsia="仿宋_GB2312" w:cs="仿宋_GB2312"/>
          <w:b w:val="0"/>
          <w:bCs w:val="0"/>
          <w:color w:val="000000" w:themeColor="text1"/>
          <w:sz w:val="21"/>
          <w:szCs w:val="21"/>
          <w14:textFill>
            <w14:solidFill>
              <w14:schemeClr w14:val="tx1"/>
            </w14:solidFill>
          </w14:textFill>
        </w:rPr>
        <w:t>方法。</w:t>
      </w:r>
    </w:p>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p>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第七章  风险应对</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通过本章的学习，熟悉风险规避、风险降低、风险转移、风险承受的基本原理，理解风险应对策略的优势与不足。掌握风险应对策略的主要形式，学会风险应对策略的选择方法。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 xml:space="preserve"> </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二、课程内容</w:t>
      </w:r>
    </w:p>
    <w:p>
      <w:pPr>
        <w:keepNext w:val="0"/>
        <w:keepLines w:val="0"/>
        <w:pageBreakBefore w:val="0"/>
        <w:kinsoku/>
        <w:wordWrap/>
        <w:overflowPunct/>
        <w:topLinePunct w:val="0"/>
        <w:autoSpaceDE/>
        <w:autoSpaceDN/>
        <w:bidi w:val="0"/>
        <w:snapToGrid w:val="0"/>
        <w:spacing w:line="240" w:lineRule="auto"/>
        <w:ind w:right="0" w:rightChars="0"/>
        <w:jc w:val="both"/>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bookmarkStart w:id="7" w:name="_Hlk131055788"/>
      <w:r>
        <w:rPr>
          <w:rFonts w:hint="eastAsia" w:ascii="仿宋_GB2312" w:hAnsi="仿宋_GB2312" w:eastAsia="仿宋_GB2312" w:cs="仿宋_GB2312"/>
          <w:b w:val="0"/>
          <w:bCs w:val="0"/>
          <w:color w:val="000000" w:themeColor="text1"/>
          <w:sz w:val="21"/>
          <w:szCs w:val="21"/>
          <w14:textFill>
            <w14:solidFill>
              <w14:schemeClr w14:val="tx1"/>
            </w14:solidFill>
          </w14:textFill>
        </w:rPr>
        <w:t>第一节 风险规避策略</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（一）风险规避的方式</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（二）风险规避的具体实施措施</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（三）风险规避的优势与不足</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（四）风险规避的适用情况</w:t>
      </w:r>
    </w:p>
    <w:p>
      <w:pPr>
        <w:keepNext w:val="0"/>
        <w:keepLines w:val="0"/>
        <w:pageBreakBefore w:val="0"/>
        <w:kinsoku/>
        <w:wordWrap/>
        <w:overflowPunct/>
        <w:topLinePunct w:val="0"/>
        <w:autoSpaceDE/>
        <w:autoSpaceDN/>
        <w:bidi w:val="0"/>
        <w:snapToGrid w:val="0"/>
        <w:spacing w:line="240" w:lineRule="auto"/>
        <w:ind w:right="0" w:rightChars="0"/>
        <w:jc w:val="both"/>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第二节 风险降低策略</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（一）风险分散</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（二）风险分摊</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（三）损失控制</w:t>
      </w:r>
    </w:p>
    <w:p>
      <w:pPr>
        <w:keepNext w:val="0"/>
        <w:keepLines w:val="0"/>
        <w:pageBreakBefore w:val="0"/>
        <w:kinsoku/>
        <w:wordWrap/>
        <w:overflowPunct/>
        <w:topLinePunct w:val="0"/>
        <w:autoSpaceDE/>
        <w:autoSpaceDN/>
        <w:bidi w:val="0"/>
        <w:snapToGrid w:val="0"/>
        <w:spacing w:line="240" w:lineRule="auto"/>
        <w:ind w:right="0" w:rightChars="0"/>
        <w:jc w:val="both"/>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第三节 风险转移策略</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（一）财务型非保险转移</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（二）控制型非保险转移</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（三）保险转移</w:t>
      </w:r>
    </w:p>
    <w:p>
      <w:pPr>
        <w:keepNext w:val="0"/>
        <w:keepLines w:val="0"/>
        <w:pageBreakBefore w:val="0"/>
        <w:kinsoku/>
        <w:wordWrap/>
        <w:overflowPunct/>
        <w:topLinePunct w:val="0"/>
        <w:autoSpaceDE/>
        <w:autoSpaceDN/>
        <w:bidi w:val="0"/>
        <w:snapToGrid w:val="0"/>
        <w:spacing w:line="240" w:lineRule="auto"/>
        <w:ind w:right="0" w:rightChars="0"/>
        <w:jc w:val="both"/>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第四节 风险承受策略</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（一）风险承受的具体方式</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（二）风险承受的优势与不足</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（三）风险承受的适用情况</w:t>
      </w:r>
    </w:p>
    <w:p>
      <w:pPr>
        <w:keepNext w:val="0"/>
        <w:keepLines w:val="0"/>
        <w:pageBreakBefore w:val="0"/>
        <w:kinsoku/>
        <w:wordWrap/>
        <w:overflowPunct/>
        <w:topLinePunct w:val="0"/>
        <w:autoSpaceDE/>
        <w:autoSpaceDN/>
        <w:bidi w:val="0"/>
        <w:snapToGrid w:val="0"/>
        <w:spacing w:line="240" w:lineRule="auto"/>
        <w:ind w:right="0" w:rightChars="0"/>
        <w:jc w:val="both"/>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第五节 风险应对策略的选择</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（一）期望值分析法</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（二）净现值分析法</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（三）决策树分析法</w:t>
      </w:r>
    </w:p>
    <w:bookmarkEnd w:id="7"/>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（一）风险规避策略</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识记：风险规避的方式；风险规避的具体实施措施</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领会：风险规避的优势与不足；风险规避的适用情况</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（二）风险降低策略</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领会：风险分散；风险分摊；损失控制</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（三）风险转移策略</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领会：财务型非保险转移；控制型非保险转移；保险转移</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（四）风险承受策略</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识记：风险承受的具体方式</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领会：风险承受的优势与不足；风险承受的适用情况</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（五）风险应对策略的选择</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应用：期望值分析法；净现值分析法；决策树分析法</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四、本章重点和难点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本章的重点是</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如何利用期望值分析法、净现值分析法进行</w:t>
      </w:r>
      <w:r>
        <w:rPr>
          <w:rFonts w:hint="eastAsia" w:ascii="仿宋_GB2312" w:hAnsi="仿宋_GB2312" w:eastAsia="仿宋_GB2312" w:cs="仿宋_GB2312"/>
          <w:b w:val="0"/>
          <w:bCs w:val="0"/>
          <w:color w:val="000000" w:themeColor="text1"/>
          <w:sz w:val="21"/>
          <w:szCs w:val="21"/>
          <w14:textFill>
            <w14:solidFill>
              <w14:schemeClr w14:val="tx1"/>
            </w14:solidFill>
          </w14:textFill>
        </w:rPr>
        <w:t>风险应对策略的选择；难点是</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决策树分析法</w:t>
      </w:r>
      <w:r>
        <w:rPr>
          <w:rFonts w:hint="eastAsia" w:ascii="仿宋_GB2312" w:hAnsi="仿宋_GB2312" w:eastAsia="仿宋_GB2312" w:cs="仿宋_GB2312"/>
          <w:b w:val="0"/>
          <w:bCs w:val="0"/>
          <w:color w:val="000000" w:themeColor="text1"/>
          <w:sz w:val="21"/>
          <w:szCs w:val="21"/>
          <w14:textFill>
            <w14:solidFill>
              <w14:schemeClr w14:val="tx1"/>
            </w14:solidFill>
          </w14:textFill>
        </w:rPr>
        <w:t>。</w:t>
      </w:r>
    </w:p>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p>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第八章 控制活动</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通过本章的学习，</w:t>
      </w:r>
      <w:bookmarkStart w:id="8" w:name="_Hlk131059010"/>
      <w:r>
        <w:rPr>
          <w:rFonts w:hint="eastAsia" w:ascii="仿宋_GB2312" w:hAnsi="仿宋_GB2312" w:eastAsia="仿宋_GB2312" w:cs="仿宋_GB2312"/>
          <w:b w:val="0"/>
          <w:bCs w:val="0"/>
          <w:color w:val="000000" w:themeColor="text1"/>
          <w:sz w:val="21"/>
          <w:szCs w:val="21"/>
          <w14:textFill>
            <w14:solidFill>
              <w14:schemeClr w14:val="tx1"/>
            </w14:solidFill>
          </w14:textFill>
        </w:rPr>
        <w:t>熟悉</w:t>
      </w:r>
      <w:bookmarkEnd w:id="8"/>
      <w:r>
        <w:rPr>
          <w:rFonts w:hint="eastAsia" w:ascii="仿宋_GB2312" w:hAnsi="仿宋_GB2312" w:eastAsia="仿宋_GB2312" w:cs="仿宋_GB2312"/>
          <w:b w:val="0"/>
          <w:bCs w:val="0"/>
          <w:color w:val="000000" w:themeColor="text1"/>
          <w:sz w:val="21"/>
          <w:szCs w:val="21"/>
          <w14:textFill>
            <w14:solidFill>
              <w14:schemeClr w14:val="tx1"/>
            </w14:solidFill>
          </w14:textFill>
        </w:rPr>
        <w:t>内部控制的主要控制活动类型，理解各项控制活动的基本原理。能够应用各项控制活动防控和化解企业经营管理中存在的各类风险。</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二、课程内容</w:t>
      </w:r>
    </w:p>
    <w:p>
      <w:pPr>
        <w:keepNext w:val="0"/>
        <w:keepLines w:val="0"/>
        <w:pageBreakBefore w:val="0"/>
        <w:kinsoku/>
        <w:wordWrap/>
        <w:overflowPunct/>
        <w:topLinePunct w:val="0"/>
        <w:autoSpaceDE/>
        <w:autoSpaceDN/>
        <w:bidi w:val="0"/>
        <w:snapToGrid w:val="0"/>
        <w:spacing w:line="240" w:lineRule="auto"/>
        <w:ind w:right="0" w:rightChars="0"/>
        <w:jc w:val="both"/>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bookmarkStart w:id="9" w:name="_Hlk131056852"/>
      <w:r>
        <w:rPr>
          <w:rFonts w:hint="eastAsia" w:ascii="仿宋_GB2312" w:hAnsi="仿宋_GB2312" w:eastAsia="仿宋_GB2312" w:cs="仿宋_GB2312"/>
          <w:b w:val="0"/>
          <w:bCs w:val="0"/>
          <w:color w:val="000000" w:themeColor="text1"/>
          <w:sz w:val="21"/>
          <w:szCs w:val="21"/>
          <w14:textFill>
            <w14:solidFill>
              <w14:schemeClr w14:val="tx1"/>
            </w14:solidFill>
          </w14:textFill>
        </w:rPr>
        <w:t>第一节 不相容职务分离控制</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（一）不相容职务分离控制的定义</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（二）不相容职务分离控制的内容</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（三）轮岗制度</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（四）强制性休假制度</w:t>
      </w:r>
    </w:p>
    <w:p>
      <w:pPr>
        <w:keepNext w:val="0"/>
        <w:keepLines w:val="0"/>
        <w:pageBreakBefore w:val="0"/>
        <w:kinsoku/>
        <w:wordWrap/>
        <w:overflowPunct/>
        <w:topLinePunct w:val="0"/>
        <w:autoSpaceDE/>
        <w:autoSpaceDN/>
        <w:bidi w:val="0"/>
        <w:snapToGrid w:val="0"/>
        <w:spacing w:line="240" w:lineRule="auto"/>
        <w:ind w:right="0" w:rightChars="0"/>
        <w:jc w:val="both"/>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第二节 授权审批控制</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（一）授权审批控制的定义</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（二）授权控制</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（三）审批控制</w:t>
      </w:r>
    </w:p>
    <w:p>
      <w:pPr>
        <w:keepNext w:val="0"/>
        <w:keepLines w:val="0"/>
        <w:pageBreakBefore w:val="0"/>
        <w:kinsoku/>
        <w:wordWrap/>
        <w:overflowPunct/>
        <w:topLinePunct w:val="0"/>
        <w:autoSpaceDE/>
        <w:autoSpaceDN/>
        <w:bidi w:val="0"/>
        <w:snapToGrid w:val="0"/>
        <w:spacing w:line="240" w:lineRule="auto"/>
        <w:ind w:right="0" w:rightChars="0"/>
        <w:jc w:val="both"/>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第三节 会计系统控制</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（一）会计系统控制的定义</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（二）会计系统控制的内容</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（三）会计系统控制的方法</w:t>
      </w:r>
    </w:p>
    <w:p>
      <w:pPr>
        <w:keepNext w:val="0"/>
        <w:keepLines w:val="0"/>
        <w:pageBreakBefore w:val="0"/>
        <w:kinsoku/>
        <w:wordWrap/>
        <w:overflowPunct/>
        <w:topLinePunct w:val="0"/>
        <w:autoSpaceDE/>
        <w:autoSpaceDN/>
        <w:bidi w:val="0"/>
        <w:snapToGrid w:val="0"/>
        <w:spacing w:line="240" w:lineRule="auto"/>
        <w:ind w:right="0" w:rightChars="0"/>
        <w:jc w:val="both"/>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第四节 财务保护控制</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（一）财务保护控制的定义</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（二）财务保护控制的内容</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（三）财务保护控制的方法</w:t>
      </w:r>
    </w:p>
    <w:p>
      <w:pPr>
        <w:keepNext w:val="0"/>
        <w:keepLines w:val="0"/>
        <w:pageBreakBefore w:val="0"/>
        <w:kinsoku/>
        <w:wordWrap/>
        <w:overflowPunct/>
        <w:topLinePunct w:val="0"/>
        <w:autoSpaceDE/>
        <w:autoSpaceDN/>
        <w:bidi w:val="0"/>
        <w:snapToGrid w:val="0"/>
        <w:spacing w:line="240" w:lineRule="auto"/>
        <w:ind w:right="0" w:rightChars="0"/>
        <w:jc w:val="both"/>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第五节 全面预算控制</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（一）全面预算控制的定义</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（二）全面预算控制的机构</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（三）全面预算控制的流程</w:t>
      </w:r>
    </w:p>
    <w:p>
      <w:pPr>
        <w:keepNext w:val="0"/>
        <w:keepLines w:val="0"/>
        <w:pageBreakBefore w:val="0"/>
        <w:kinsoku/>
        <w:wordWrap/>
        <w:overflowPunct/>
        <w:topLinePunct w:val="0"/>
        <w:autoSpaceDE/>
        <w:autoSpaceDN/>
        <w:bidi w:val="0"/>
        <w:snapToGrid w:val="0"/>
        <w:spacing w:line="240" w:lineRule="auto"/>
        <w:ind w:right="0" w:rightChars="0"/>
        <w:jc w:val="both"/>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第六节 运营分析控制</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（一）运营分析控制的定义</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（二）运营分析的流程</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（三）运营分析控制的方法</w:t>
      </w:r>
    </w:p>
    <w:p>
      <w:pPr>
        <w:keepNext w:val="0"/>
        <w:keepLines w:val="0"/>
        <w:pageBreakBefore w:val="0"/>
        <w:kinsoku/>
        <w:wordWrap/>
        <w:overflowPunct/>
        <w:topLinePunct w:val="0"/>
        <w:autoSpaceDE/>
        <w:autoSpaceDN/>
        <w:bidi w:val="0"/>
        <w:snapToGrid w:val="0"/>
        <w:spacing w:line="240" w:lineRule="auto"/>
        <w:ind w:right="0" w:rightChars="0"/>
        <w:jc w:val="both"/>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第七节 绩效考评控制</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（一）绩效考评控制的定义</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（二）绩效考评的流程</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（三）绩效考评的方法</w:t>
      </w:r>
    </w:p>
    <w:p>
      <w:pPr>
        <w:keepNext w:val="0"/>
        <w:keepLines w:val="0"/>
        <w:pageBreakBefore w:val="0"/>
        <w:kinsoku/>
        <w:wordWrap/>
        <w:overflowPunct/>
        <w:topLinePunct w:val="0"/>
        <w:autoSpaceDE/>
        <w:autoSpaceDN/>
        <w:bidi w:val="0"/>
        <w:snapToGrid w:val="0"/>
        <w:spacing w:line="240" w:lineRule="auto"/>
        <w:ind w:right="0" w:rightChars="0"/>
        <w:jc w:val="both"/>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第八节 合同控制</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（一）合同控制的定义</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（二）合同控制的流程</w:t>
      </w:r>
    </w:p>
    <w:bookmarkEnd w:id="9"/>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（一）不相容职务分离控制</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识记：不相容职务分离控制的定义</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领会：轮岗制度；强制性休假制度</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应用：不相容职务分离控制的内容</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（二）授权审批控制</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识记：授权审批控制的定义</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领会：授权控制</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应用：审批控制</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（三）会计系统控制</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识记：会计系统控制的定义</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领会：会计系统控制的内容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bookmarkStart w:id="10" w:name="_Hlk131057292"/>
      <w:r>
        <w:rPr>
          <w:rFonts w:hint="eastAsia" w:ascii="仿宋_GB2312" w:hAnsi="仿宋_GB2312" w:eastAsia="仿宋_GB2312" w:cs="仿宋_GB2312"/>
          <w:b w:val="0"/>
          <w:bCs w:val="0"/>
          <w:color w:val="000000" w:themeColor="text1"/>
          <w:sz w:val="21"/>
          <w:szCs w:val="21"/>
          <w14:textFill>
            <w14:solidFill>
              <w14:schemeClr w14:val="tx1"/>
            </w14:solidFill>
          </w14:textFill>
        </w:rPr>
        <w:t>应用：</w:t>
      </w:r>
      <w:bookmarkEnd w:id="10"/>
      <w:r>
        <w:rPr>
          <w:rFonts w:hint="eastAsia" w:ascii="仿宋_GB2312" w:hAnsi="仿宋_GB2312" w:eastAsia="仿宋_GB2312" w:cs="仿宋_GB2312"/>
          <w:b w:val="0"/>
          <w:bCs w:val="0"/>
          <w:color w:val="000000" w:themeColor="text1"/>
          <w:sz w:val="21"/>
          <w:szCs w:val="21"/>
          <w14:textFill>
            <w14:solidFill>
              <w14:schemeClr w14:val="tx1"/>
            </w14:solidFill>
          </w14:textFill>
        </w:rPr>
        <w:t>会计系统控制的方法</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（四）财务保护控制</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识记：财务保护控制的定义</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领会：财务保护控制的内容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应用：财务保护控制的方法</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（五）全面预算控制</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识记：全面预算控制的定义</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领会：全面预算控制的机构</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应用：全面预算控制的流程</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（六）运营分析控制</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识记：运营分析控制的定义</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领会：运营分析的流程</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应用：运营分析控制的方法</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（七）绩效考评控制</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识记：绩效考评控制的定义</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领会：绩效考评的流程</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应用：绩效考评的方法</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（八）合同控制</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识记：合同控制的定义</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应用：合同控制的流程</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四、本章重点和难点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本章的重点是各项控制活动防控和化解企业经营管理中存在的各类风险；难点是各项控制活动防控和化解企业经营管理中存在的各类风险。</w:t>
      </w:r>
    </w:p>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p>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第九章  信息与沟通</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通过本章的学习，理解财务报告、管理报告和信息系统内部控制的内涵和价值，熟悉财务报告、管理报告和信息系统内部控制的总体要求和基本流程；掌握</w:t>
      </w:r>
      <w:bookmarkStart w:id="11" w:name="_Hlk131059033"/>
      <w:r>
        <w:rPr>
          <w:rFonts w:hint="eastAsia" w:ascii="仿宋_GB2312" w:hAnsi="仿宋_GB2312" w:eastAsia="仿宋_GB2312" w:cs="仿宋_GB2312"/>
          <w:b w:val="0"/>
          <w:bCs w:val="0"/>
          <w:color w:val="000000" w:themeColor="text1"/>
          <w:sz w:val="21"/>
          <w:szCs w:val="21"/>
          <w14:textFill>
            <w14:solidFill>
              <w14:schemeClr w14:val="tx1"/>
            </w14:solidFill>
          </w14:textFill>
        </w:rPr>
        <w:t>财务报告、管理报告和信息系统内部控制的关键风险点和主要控制措施</w:t>
      </w:r>
      <w:bookmarkEnd w:id="11"/>
      <w:r>
        <w:rPr>
          <w:rFonts w:hint="eastAsia" w:ascii="仿宋_GB2312" w:hAnsi="仿宋_GB2312" w:eastAsia="仿宋_GB2312" w:cs="仿宋_GB2312"/>
          <w:b w:val="0"/>
          <w:bCs w:val="0"/>
          <w:color w:val="000000" w:themeColor="text1"/>
          <w:sz w:val="21"/>
          <w:szCs w:val="21"/>
          <w14:textFill>
            <w14:solidFill>
              <w14:schemeClr w14:val="tx1"/>
            </w14:solidFill>
          </w14:textFill>
        </w:rPr>
        <w:t>。</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二、课程内容</w:t>
      </w:r>
    </w:p>
    <w:p>
      <w:pPr>
        <w:keepNext w:val="0"/>
        <w:keepLines w:val="0"/>
        <w:pageBreakBefore w:val="0"/>
        <w:kinsoku/>
        <w:wordWrap/>
        <w:overflowPunct/>
        <w:topLinePunct w:val="0"/>
        <w:autoSpaceDE/>
        <w:autoSpaceDN/>
        <w:bidi w:val="0"/>
        <w:snapToGrid w:val="0"/>
        <w:spacing w:line="240" w:lineRule="auto"/>
        <w:ind w:right="0" w:rightChars="0"/>
        <w:jc w:val="both"/>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bookmarkStart w:id="12" w:name="_Hlk131058866"/>
      <w:r>
        <w:rPr>
          <w:rFonts w:hint="eastAsia" w:ascii="仿宋_GB2312" w:hAnsi="仿宋_GB2312" w:eastAsia="仿宋_GB2312" w:cs="仿宋_GB2312"/>
          <w:b w:val="0"/>
          <w:bCs w:val="0"/>
          <w:color w:val="000000" w:themeColor="text1"/>
          <w:sz w:val="21"/>
          <w:szCs w:val="21"/>
          <w14:textFill>
            <w14:solidFill>
              <w14:schemeClr w14:val="tx1"/>
            </w14:solidFill>
          </w14:textFill>
        </w:rPr>
        <w:t>第一节 财务报告内部控制</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（一）财务报告内部控制的内涵与价值</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（二）财务报告内部控制的总体要求与基本流程</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（三）财务报告内容控制的关键风险点和主要控制措施</w:t>
      </w:r>
    </w:p>
    <w:p>
      <w:pPr>
        <w:keepNext w:val="0"/>
        <w:keepLines w:val="0"/>
        <w:pageBreakBefore w:val="0"/>
        <w:kinsoku/>
        <w:wordWrap/>
        <w:overflowPunct/>
        <w:topLinePunct w:val="0"/>
        <w:autoSpaceDE/>
        <w:autoSpaceDN/>
        <w:bidi w:val="0"/>
        <w:snapToGrid w:val="0"/>
        <w:spacing w:line="240" w:lineRule="auto"/>
        <w:ind w:right="0" w:rightChars="0"/>
        <w:jc w:val="both"/>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第二节 管理报告内部控制</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（一）管理报告内部控制的内涵与原则</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（二）管理报告内部控制的基本流程</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（三）管理报告内部控制的关键风险点与主要控制措施</w:t>
      </w:r>
    </w:p>
    <w:p>
      <w:pPr>
        <w:keepNext w:val="0"/>
        <w:keepLines w:val="0"/>
        <w:pageBreakBefore w:val="0"/>
        <w:kinsoku/>
        <w:wordWrap/>
        <w:overflowPunct/>
        <w:topLinePunct w:val="0"/>
        <w:autoSpaceDE/>
        <w:autoSpaceDN/>
        <w:bidi w:val="0"/>
        <w:snapToGrid w:val="0"/>
        <w:spacing w:line="240" w:lineRule="auto"/>
        <w:ind w:right="0" w:rightChars="0"/>
        <w:jc w:val="both"/>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第三节 信息系统内部控制</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（一）信息系统内部控制的内涵和价值</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（二）信息系统内部控制的基本流程</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（三）信息系统内部控制的关键风险点和主要控制措施</w:t>
      </w:r>
    </w:p>
    <w:bookmarkEnd w:id="12"/>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（一）财务报告内部控制</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识记：财务报告内部控制的内涵与价值</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领会：财务报告内部控制的总体要求与基本流程</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w:t>
      </w:r>
      <w:bookmarkStart w:id="13" w:name="_Hlk131062765"/>
      <w:r>
        <w:rPr>
          <w:rFonts w:hint="eastAsia" w:ascii="仿宋_GB2312" w:hAnsi="仿宋_GB2312" w:eastAsia="仿宋_GB2312" w:cs="仿宋_GB2312"/>
          <w:b w:val="0"/>
          <w:bCs w:val="0"/>
          <w:color w:val="000000" w:themeColor="text1"/>
          <w:sz w:val="21"/>
          <w:szCs w:val="21"/>
          <w14:textFill>
            <w14:solidFill>
              <w14:schemeClr w14:val="tx1"/>
            </w14:solidFill>
          </w14:textFill>
        </w:rPr>
        <w:t>财务报告内容控制的关键风险点和主要控制措施</w:t>
      </w:r>
      <w:bookmarkEnd w:id="13"/>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（二）管理报告内部控制</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识记：管理报告内部控制的内涵与原则</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领会：管理报告内部控制的基本流程</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应用：管理报告内部控制的关键风险点与主要控制措施</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（三）信息系统内部控制</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识记：信息系统内部控制的内涵和价值</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领会：信息系统内部控制的基本流程</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应用：信息系统内部控制的关键风险点和主要控制措施</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四、本章重点和难点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本章的重点是财务报告、管理报告和信息系统内部控制的关键风险点和主要控制措施；难点是财务报告、管理报告和信息系统内部控制的关键风险点和主要控制措施。</w:t>
      </w:r>
    </w:p>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p>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第十章  内部监督</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通过本章的学习，理解内部监督的作用和定义；理解内部审计的定义和职能，理解内部控制评价的定义和原则。熟悉内部审计机构的设置原则、设置方式和主要权限；</w:t>
      </w:r>
      <w:bookmarkStart w:id="14" w:name="_Hlk131059588"/>
      <w:r>
        <w:rPr>
          <w:rFonts w:hint="eastAsia" w:ascii="仿宋_GB2312" w:hAnsi="仿宋_GB2312" w:eastAsia="仿宋_GB2312" w:cs="仿宋_GB2312"/>
          <w:b w:val="0"/>
          <w:bCs w:val="0"/>
          <w:color w:val="000000" w:themeColor="text1"/>
          <w:sz w:val="21"/>
          <w:szCs w:val="21"/>
          <w14:textFill>
            <w14:solidFill>
              <w14:schemeClr w14:val="tx1"/>
            </w14:solidFill>
          </w14:textFill>
        </w:rPr>
        <w:t>掌握内部监督的程序，学会内部监督不同形式的应用；掌握内部控制评价的内容和程序，学会不同类型内部控制缺陷的认定。</w:t>
      </w:r>
      <w:bookmarkEnd w:id="14"/>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二、课程内容</w:t>
      </w:r>
    </w:p>
    <w:p>
      <w:pPr>
        <w:keepNext w:val="0"/>
        <w:keepLines w:val="0"/>
        <w:pageBreakBefore w:val="0"/>
        <w:kinsoku/>
        <w:wordWrap/>
        <w:overflowPunct/>
        <w:topLinePunct w:val="0"/>
        <w:autoSpaceDE/>
        <w:autoSpaceDN/>
        <w:bidi w:val="0"/>
        <w:snapToGrid w:val="0"/>
        <w:spacing w:line="240" w:lineRule="auto"/>
        <w:ind w:right="0" w:rightChars="0"/>
        <w:jc w:val="both"/>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bookmarkStart w:id="15" w:name="_Hlk131059133"/>
      <w:r>
        <w:rPr>
          <w:rFonts w:hint="eastAsia" w:ascii="仿宋_GB2312" w:hAnsi="仿宋_GB2312" w:eastAsia="仿宋_GB2312" w:cs="仿宋_GB2312"/>
          <w:b w:val="0"/>
          <w:bCs w:val="0"/>
          <w:color w:val="000000" w:themeColor="text1"/>
          <w:sz w:val="21"/>
          <w:szCs w:val="21"/>
          <w14:textFill>
            <w14:solidFill>
              <w14:schemeClr w14:val="tx1"/>
            </w14:solidFill>
          </w14:textFill>
        </w:rPr>
        <w:t>第一节 内部监督概述</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（一）内部监督的定义</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（二）内部监督的程序</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（三）内</w:t>
      </w:r>
      <w:r>
        <w:rPr>
          <w:rFonts w:hint="eastAsia" w:ascii="仿宋_GB2312" w:hAnsi="仿宋_GB2312" w:eastAsia="仿宋_GB2312" w:cs="仿宋_GB2312"/>
          <w:b w:val="0"/>
          <w:bCs w:val="0"/>
          <w:color w:val="000000" w:themeColor="text1"/>
          <w:sz w:val="21"/>
          <w:szCs w:val="21"/>
          <w:lang w:val="en-US" w:eastAsia="zh-CN"/>
          <w14:textFill>
            <w14:solidFill>
              <w14:schemeClr w14:val="tx1"/>
            </w14:solidFill>
          </w14:textFill>
        </w:rPr>
        <w:t>部</w:t>
      </w:r>
      <w:r>
        <w:rPr>
          <w:rFonts w:hint="eastAsia" w:ascii="仿宋_GB2312" w:hAnsi="仿宋_GB2312" w:eastAsia="仿宋_GB2312" w:cs="仿宋_GB2312"/>
          <w:b w:val="0"/>
          <w:bCs w:val="0"/>
          <w:color w:val="000000" w:themeColor="text1"/>
          <w:sz w:val="21"/>
          <w:szCs w:val="21"/>
          <w14:textFill>
            <w14:solidFill>
              <w14:schemeClr w14:val="tx1"/>
            </w14:solidFill>
          </w14:textFill>
        </w:rPr>
        <w:t>监督的形式</w:t>
      </w:r>
    </w:p>
    <w:p>
      <w:pPr>
        <w:keepNext w:val="0"/>
        <w:keepLines w:val="0"/>
        <w:pageBreakBefore w:val="0"/>
        <w:kinsoku/>
        <w:wordWrap/>
        <w:overflowPunct/>
        <w:topLinePunct w:val="0"/>
        <w:autoSpaceDE/>
        <w:autoSpaceDN/>
        <w:bidi w:val="0"/>
        <w:snapToGrid w:val="0"/>
        <w:spacing w:line="240" w:lineRule="auto"/>
        <w:ind w:right="0" w:rightChars="0"/>
        <w:jc w:val="both"/>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第二节 内部审计</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（一）内部审计的定义</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（二）内部审计的职能</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（三）内部审计的机构</w:t>
      </w:r>
    </w:p>
    <w:p>
      <w:pPr>
        <w:keepNext w:val="0"/>
        <w:keepLines w:val="0"/>
        <w:pageBreakBefore w:val="0"/>
        <w:kinsoku/>
        <w:wordWrap/>
        <w:overflowPunct/>
        <w:topLinePunct w:val="0"/>
        <w:autoSpaceDE/>
        <w:autoSpaceDN/>
        <w:bidi w:val="0"/>
        <w:snapToGrid w:val="0"/>
        <w:spacing w:line="240" w:lineRule="auto"/>
        <w:ind w:right="0" w:rightChars="0"/>
        <w:jc w:val="both"/>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第三节 内部控制评价</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（一）内部控制评价的定义</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（二）内部控制评价的原则</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（三）内部控制评价的内容</w:t>
      </w:r>
    </w:p>
    <w:bookmarkEnd w:id="15"/>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（一）内部监督概述</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识记：内部监督的定义</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领会：内部监督的程序</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应用：内</w:t>
      </w:r>
      <w:r>
        <w:rPr>
          <w:rFonts w:hint="eastAsia" w:ascii="仿宋_GB2312" w:hAnsi="仿宋_GB2312" w:eastAsia="仿宋_GB2312" w:cs="仿宋_GB2312"/>
          <w:b w:val="0"/>
          <w:bCs w:val="0"/>
          <w:color w:val="000000" w:themeColor="text1"/>
          <w:sz w:val="21"/>
          <w:szCs w:val="21"/>
          <w:lang w:val="en-US" w:eastAsia="zh-CN"/>
          <w14:textFill>
            <w14:solidFill>
              <w14:schemeClr w14:val="tx1"/>
            </w14:solidFill>
          </w14:textFill>
        </w:rPr>
        <w:t>部</w:t>
      </w:r>
      <w:r>
        <w:rPr>
          <w:rFonts w:hint="eastAsia" w:ascii="仿宋_GB2312" w:hAnsi="仿宋_GB2312" w:eastAsia="仿宋_GB2312" w:cs="仿宋_GB2312"/>
          <w:b w:val="0"/>
          <w:bCs w:val="0"/>
          <w:color w:val="000000" w:themeColor="text1"/>
          <w:sz w:val="21"/>
          <w:szCs w:val="21"/>
          <w14:textFill>
            <w14:solidFill>
              <w14:schemeClr w14:val="tx1"/>
            </w14:solidFill>
          </w14:textFill>
        </w:rPr>
        <w:t>监督的形式</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（二）内部审计</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识记：内部审计的定义；内部审计的职能</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领会：内部审计的机构</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（三）内部控制评价</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识记：内部控制评价的定义；内部控制评价的原则</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应用：内部控制评价的内容</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四、本章重点和难点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本章的重点是</w:t>
      </w:r>
      <w:bookmarkStart w:id="16" w:name="_Hlk131059603"/>
      <w:r>
        <w:rPr>
          <w:rFonts w:hint="eastAsia" w:ascii="仿宋_GB2312" w:hAnsi="仿宋_GB2312" w:eastAsia="仿宋_GB2312" w:cs="仿宋_GB2312"/>
          <w:b w:val="0"/>
          <w:bCs w:val="0"/>
          <w:color w:val="000000" w:themeColor="text1"/>
          <w:sz w:val="21"/>
          <w:szCs w:val="21"/>
          <w14:textFill>
            <w14:solidFill>
              <w14:schemeClr w14:val="tx1"/>
            </w14:solidFill>
          </w14:textFill>
        </w:rPr>
        <w:t>内部监督的程序，学会内部监督不同形式的应用；内部控制评价的内容和程序，学会不同类型内部控制缺陷的认定</w:t>
      </w:r>
      <w:bookmarkEnd w:id="16"/>
      <w:r>
        <w:rPr>
          <w:rFonts w:hint="eastAsia" w:ascii="仿宋_GB2312" w:hAnsi="仿宋_GB2312" w:eastAsia="仿宋_GB2312" w:cs="仿宋_GB2312"/>
          <w:b w:val="0"/>
          <w:bCs w:val="0"/>
          <w:color w:val="000000" w:themeColor="text1"/>
          <w:sz w:val="21"/>
          <w:szCs w:val="21"/>
          <w14:textFill>
            <w14:solidFill>
              <w14:schemeClr w14:val="tx1"/>
            </w14:solidFill>
          </w14:textFill>
        </w:rPr>
        <w:t>。难点是内部监督的程序，学会内部监督不同形式的应用；内部控制评价的内容和程序，学会不同类型内部控制缺陷的认定。</w:t>
      </w:r>
    </w:p>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p>
    <w:p>
      <w:pPr>
        <w:keepNext w:val="0"/>
        <w:keepLines w:val="0"/>
        <w:pageBreakBefore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color w:val="000000" w:themeColor="text1"/>
          <w:sz w:val="21"/>
          <w:szCs w:val="21"/>
          <w14:textFill>
            <w14:solidFill>
              <w14:schemeClr w14:val="tx1"/>
            </w14:solidFill>
          </w14:textFill>
        </w:rPr>
      </w:pPr>
      <w:r>
        <w:rPr>
          <w:rFonts w:hint="eastAsia" w:ascii="仿宋_GB2312" w:hAnsi="仿宋_GB2312" w:eastAsia="仿宋_GB2312" w:cs="仿宋_GB2312"/>
          <w:b/>
          <w:bCs/>
          <w:color w:val="000000" w:themeColor="text1"/>
          <w:sz w:val="21"/>
          <w:szCs w:val="21"/>
          <w14:textFill>
            <w14:solidFill>
              <w14:schemeClr w14:val="tx1"/>
            </w14:solidFill>
          </w14:textFill>
        </w:rPr>
        <w:t>Ⅳ  关于大纲的说明与考核实施要求</w:t>
      </w:r>
    </w:p>
    <w:p>
      <w:pPr>
        <w:keepNext w:val="0"/>
        <w:keepLines w:val="0"/>
        <w:pageBreakBefore w:val="0"/>
        <w:kinsoku/>
        <w:wordWrap/>
        <w:overflowPunct/>
        <w:topLinePunct w:val="0"/>
        <w:autoSpaceDE/>
        <w:autoSpaceDN/>
        <w:bidi w:val="0"/>
        <w:adjustRightInd w:val="0"/>
        <w:snapToGrid w:val="0"/>
        <w:spacing w:line="240" w:lineRule="auto"/>
        <w:ind w:right="0" w:rightChars="0" w:firstLine="420" w:firstLineChars="200"/>
        <w:textAlignment w:val="baseline"/>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一、自学考试大纲的目的和作用</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“内部控制与风险管理”课程自学考试大纲是根据会计学</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r>
        <w:rPr>
          <w:rFonts w:hint="eastAsia" w:ascii="仿宋_GB2312" w:hAnsi="仿宋_GB2312" w:eastAsia="仿宋_GB2312" w:cs="仿宋_GB2312"/>
          <w:b w:val="0"/>
          <w:bCs w:val="0"/>
          <w:color w:val="000000" w:themeColor="text1"/>
          <w:sz w:val="21"/>
          <w:szCs w:val="21"/>
          <w:lang w:val="en-US" w:eastAsia="zh-CN"/>
          <w14:textFill>
            <w14:solidFill>
              <w14:schemeClr w14:val="tx1"/>
            </w14:solidFill>
          </w14:textFill>
        </w:rPr>
        <w:t>专升本）等</w:t>
      </w:r>
      <w:r>
        <w:rPr>
          <w:rFonts w:hint="eastAsia" w:ascii="仿宋_GB2312" w:hAnsi="仿宋_GB2312" w:eastAsia="仿宋_GB2312" w:cs="仿宋_GB2312"/>
          <w:b w:val="0"/>
          <w:bCs w:val="0"/>
          <w:color w:val="000000" w:themeColor="text1"/>
          <w:sz w:val="21"/>
          <w:szCs w:val="21"/>
          <w14:textFill>
            <w14:solidFill>
              <w14:schemeClr w14:val="tx1"/>
            </w14:solidFill>
          </w14:textFill>
        </w:rPr>
        <w:t>专业自学考试计划的要求，结合自学考试的特点而确定。其目的是对个人自学、社会助学和课程考试命题进行指导和规定。</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二、课程自学考试大纲与教材的关系</w:t>
      </w:r>
    </w:p>
    <w:p>
      <w:pPr>
        <w:pStyle w:val="4"/>
        <w:keepNext w:val="0"/>
        <w:keepLines w:val="0"/>
        <w:pageBreakBefore w:val="0"/>
        <w:kinsoku/>
        <w:wordWrap/>
        <w:overflowPunct/>
        <w:topLinePunct w:val="0"/>
        <w:autoSpaceDE/>
        <w:autoSpaceDN/>
        <w:bidi w:val="0"/>
        <w:snapToGrid w:val="0"/>
        <w:spacing w:after="0" w:line="240" w:lineRule="auto"/>
        <w:ind w:left="0" w:leftChars="0"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课程自学考试大纲是进行学习和考核的依据，教材给出了学习掌握课程知识的基本内容与范围，教材的内容是大纲所规定的课程知识和内容的扩展与发挥。课程内容在教材中可以体现一定的深度或难度，但在大纲中对考核的要求一定要适当。</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大纲与教材所体现的课程内容应基本一致；大纲里面的课程内容和考核知识点，教材里一般也要有。反过来教材里有的内容，大纲里就不一定体现。</w:t>
      </w:r>
    </w:p>
    <w:p>
      <w:pPr>
        <w:keepNext w:val="0"/>
        <w:keepLines w:val="0"/>
        <w:pageBreakBefore w:val="0"/>
        <w:kinsoku/>
        <w:wordWrap/>
        <w:overflowPunct/>
        <w:topLinePunct w:val="0"/>
        <w:autoSpaceDE/>
        <w:autoSpaceDN/>
        <w:bidi w:val="0"/>
        <w:snapToGrid w:val="0"/>
        <w:spacing w:line="240" w:lineRule="auto"/>
        <w:ind w:left="440"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三、关于自学教材</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bookmarkStart w:id="17" w:name="_GoBack"/>
      <w:r>
        <w:rPr>
          <w:rFonts w:hint="eastAsia" w:ascii="仿宋_GB2312" w:hAnsi="仿宋_GB2312" w:eastAsia="仿宋_GB2312" w:cs="仿宋_GB2312"/>
          <w:b w:val="0"/>
          <w:bCs w:val="0"/>
          <w:color w:val="000000" w:themeColor="text1"/>
          <w:sz w:val="21"/>
          <w:szCs w:val="21"/>
          <w14:textFill>
            <w14:solidFill>
              <w14:schemeClr w14:val="tx1"/>
            </w14:solidFill>
          </w14:textFill>
        </w:rPr>
        <w:t>《内部控制与风险管理》，池国华、朱荣主编，中国人民大学出版社，2022</w:t>
      </w:r>
      <w:r>
        <w:rPr>
          <w:rFonts w:hint="eastAsia" w:ascii="仿宋_GB2312" w:hAnsi="仿宋_GB2312" w:eastAsia="仿宋_GB2312" w:cs="仿宋_GB2312"/>
          <w:b w:val="0"/>
          <w:bCs w:val="0"/>
          <w:color w:val="000000" w:themeColor="text1"/>
          <w:sz w:val="21"/>
          <w:szCs w:val="21"/>
          <w:lang w:val="en-US" w:eastAsia="zh-CN"/>
          <w14:textFill>
            <w14:solidFill>
              <w14:schemeClr w14:val="tx1"/>
            </w14:solidFill>
          </w14:textFill>
        </w:rPr>
        <w:t>年</w:t>
      </w:r>
      <w:r>
        <w:rPr>
          <w:rFonts w:hint="eastAsia" w:ascii="仿宋_GB2312" w:hAnsi="仿宋_GB2312" w:eastAsia="仿宋_GB2312" w:cs="仿宋_GB2312"/>
          <w:b w:val="0"/>
          <w:bCs w:val="0"/>
          <w:color w:val="000000" w:themeColor="text1"/>
          <w:sz w:val="21"/>
          <w:szCs w:val="21"/>
          <w14:textFill>
            <w14:solidFill>
              <w14:schemeClr w14:val="tx1"/>
            </w14:solidFill>
          </w14:textFill>
        </w:rPr>
        <w:t>版</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r>
        <w:rPr>
          <w:rFonts w:hint="eastAsia" w:ascii="仿宋_GB2312" w:hAnsi="仿宋_GB2312" w:eastAsia="仿宋_GB2312" w:cs="仿宋_GB2312"/>
          <w:b w:val="0"/>
          <w:bCs w:val="0"/>
          <w:color w:val="000000" w:themeColor="text1"/>
          <w:sz w:val="21"/>
          <w:szCs w:val="21"/>
          <w:lang w:val="en-US" w:eastAsia="zh-CN"/>
          <w14:textFill>
            <w14:solidFill>
              <w14:schemeClr w14:val="tx1"/>
            </w14:solidFill>
          </w14:textFill>
        </w:rPr>
        <w:t>第3版</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bookmarkEnd w:id="17"/>
      <w:r>
        <w:rPr>
          <w:rFonts w:hint="eastAsia" w:ascii="仿宋_GB2312" w:hAnsi="仿宋_GB2312" w:eastAsia="仿宋_GB2312" w:cs="仿宋_GB2312"/>
          <w:b w:val="0"/>
          <w:bCs w:val="0"/>
          <w:color w:val="000000" w:themeColor="text1"/>
          <w:sz w:val="21"/>
          <w:szCs w:val="21"/>
          <w14:textFill>
            <w14:solidFill>
              <w14:schemeClr w14:val="tx1"/>
            </w14:solidFill>
          </w14:textFill>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本教材第三章第四节内容考生可根据个人能力与兴趣自学，不纳入考核范围。</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四、关于自学要求和自学方法的指导</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为有效地指导个人自学和社会助学，本大纲已指明了课程的重点和难点，在章节的基本要求中一般也指明了章节内容的重点和难点。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由于成人学习的个性化特点，建议业余自学时间不低于60个学时。</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建议学习本课程时注意以下几点：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1.在学习本课程教材之前，应先仔细阅读本大纲，了解本课程的性质和特点，熟知本课程的基本要求，在学习本课程时，能紧紧围绕本课程的基本要求。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2.在自学每一章的教材之前，先阅读本大纲中对应章节的学习目的与要求、考核知识点与考核要求，以使在自学时做到心中有数。</w:t>
      </w:r>
    </w:p>
    <w:p>
      <w:pPr>
        <w:pStyle w:val="7"/>
        <w:keepNext w:val="0"/>
        <w:keepLines w:val="0"/>
        <w:pageBreakBefore w:val="0"/>
        <w:shd w:val="clear" w:color="auto" w:fill="FFFFFF"/>
        <w:kinsoku/>
        <w:wordWrap/>
        <w:overflowPunct/>
        <w:topLinePunct w:val="0"/>
        <w:autoSpaceDE/>
        <w:autoSpaceDN/>
        <w:bidi w:val="0"/>
        <w:snapToGrid w:val="0"/>
        <w:spacing w:before="0" w:beforeAutospacing="0" w:after="0" w:afterAutospacing="0" w:line="240" w:lineRule="auto"/>
        <w:ind w:right="0" w:rightChars="0" w:firstLine="420" w:firstLineChars="200"/>
        <w:jc w:val="both"/>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3．在自学过程中，既要思考问题，也要做好阅读笔记，把教材中的基本概念、原理、方法等加以整理，这可从中加深对问题的认知、理解和记忆，以利于突出重点，并涵盖整个内容，可以不断提高自学能力。</w:t>
      </w:r>
    </w:p>
    <w:p>
      <w:pPr>
        <w:pStyle w:val="7"/>
        <w:keepNext w:val="0"/>
        <w:keepLines w:val="0"/>
        <w:pageBreakBefore w:val="0"/>
        <w:shd w:val="clear" w:color="auto" w:fill="FFFFFF"/>
        <w:kinsoku/>
        <w:wordWrap/>
        <w:overflowPunct/>
        <w:topLinePunct w:val="0"/>
        <w:autoSpaceDE/>
        <w:autoSpaceDN/>
        <w:bidi w:val="0"/>
        <w:snapToGrid w:val="0"/>
        <w:spacing w:before="0" w:beforeAutospacing="0" w:after="0" w:afterAutospacing="0" w:line="240" w:lineRule="auto"/>
        <w:ind w:right="0" w:rightChars="0" w:firstLine="420" w:firstLineChars="200"/>
        <w:jc w:val="both"/>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4.本课程是一门应用性课程，自学应考者应重点掌握各种方法的应用，但方法的正确应用必须以对理论的深刻理解为基础，学习中应把理论、原理和方法应用结合起来。</w:t>
      </w:r>
    </w:p>
    <w:p>
      <w:pPr>
        <w:pStyle w:val="7"/>
        <w:keepNext w:val="0"/>
        <w:keepLines w:val="0"/>
        <w:pageBreakBefore w:val="0"/>
        <w:shd w:val="clear" w:color="auto" w:fill="FFFFFF"/>
        <w:kinsoku/>
        <w:wordWrap/>
        <w:overflowPunct/>
        <w:topLinePunct w:val="0"/>
        <w:autoSpaceDE/>
        <w:autoSpaceDN/>
        <w:bidi w:val="0"/>
        <w:snapToGrid w:val="0"/>
        <w:spacing w:before="0" w:beforeAutospacing="0" w:after="0" w:afterAutospacing="0" w:line="240" w:lineRule="auto"/>
        <w:ind w:right="0" w:rightChars="0" w:firstLine="420" w:firstLineChars="200"/>
        <w:jc w:val="both"/>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5.重视理论联系实际，结合内部控制与风险管理实际进行学习。自学应考者在学习中应把课程的内容同我国内部控制与风险管理的实践联系起来，进行对照比较，分析研究，以增强感性认识，更深刻地领会教材的内容，将知识转化为能力，提高自己分析问题和解决问题的能力。</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lang w:val="en-US" w:eastAsia="zh-CN"/>
          <w14:textFill>
            <w14:solidFill>
              <w14:schemeClr w14:val="tx1"/>
            </w14:solidFill>
          </w14:textFill>
        </w:rPr>
        <w:t>五</w:t>
      </w:r>
      <w:r>
        <w:rPr>
          <w:rFonts w:hint="eastAsia" w:ascii="仿宋_GB2312" w:hAnsi="仿宋_GB2312" w:eastAsia="仿宋_GB2312" w:cs="仿宋_GB2312"/>
          <w:b w:val="0"/>
          <w:bCs w:val="0"/>
          <w:color w:val="000000" w:themeColor="text1"/>
          <w:sz w:val="21"/>
          <w:szCs w:val="21"/>
          <w14:textFill>
            <w14:solidFill>
              <w14:schemeClr w14:val="tx1"/>
            </w14:solidFill>
          </w14:textFill>
        </w:rPr>
        <w:t>、对社会助学的要求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本课程教学建议采用老师讲授和课堂讨论相结合的方法，注重理论联系实际；注重现代化教学手段的应用，以及开放式教学方法的应用，帮助学生最大限度地实现学习的目标。</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对担任本课程自学助学的任课教师和自学助学单位提出以下几条基本要求。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1.熟知本课程考试大纲的各项要求，熟悉各章节的考核知识点。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2.辅导教学以大纲为依据，不要随意删减内容，以免偏离大纲。</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3.辅导还要注意突出重点，要帮助学生对课程内容建立一个整体的概念。</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kern w:val="0"/>
          <w:sz w:val="21"/>
          <w:szCs w:val="21"/>
          <w14:textFill>
            <w14:solidFill>
              <w14:schemeClr w14:val="tx1"/>
            </w14:solidFill>
          </w14:textFill>
        </w:rPr>
      </w:pPr>
      <w:r>
        <w:rPr>
          <w:rFonts w:hint="eastAsia" w:ascii="仿宋_GB2312" w:hAnsi="仿宋_GB2312" w:eastAsia="仿宋_GB2312" w:cs="仿宋_GB2312"/>
          <w:b w:val="0"/>
          <w:bCs w:val="0"/>
          <w:color w:val="000000" w:themeColor="text1"/>
          <w:kern w:val="0"/>
          <w:sz w:val="21"/>
          <w:szCs w:val="21"/>
          <w14:textFill>
            <w14:solidFill>
              <w14:schemeClr w14:val="tx1"/>
            </w14:solidFill>
          </w14:textFill>
        </w:rPr>
        <w:t>4.助学者在辅导时应帮助自学者梳理重点内容和一般内容之间的关系，在他们全面掌握全部考试内容的基础上，帮助他们解读企业内部环境、风险识别、风险分析、风险应对、控制活动、信息与沟通和内部监督的各项核心内容，尤其注意本课程内部环境、风险评估、控制活动、信息与沟通和监控五要素在内部控制与风险管理中的作用。</w:t>
      </w:r>
    </w:p>
    <w:p>
      <w:pPr>
        <w:keepNext w:val="0"/>
        <w:keepLines w:val="0"/>
        <w:pageBreakBefore w:val="0"/>
        <w:kinsoku/>
        <w:wordWrap/>
        <w:overflowPunct/>
        <w:topLinePunct w:val="0"/>
        <w:autoSpaceDE/>
        <w:autoSpaceDN/>
        <w:bidi w:val="0"/>
        <w:snapToGrid w:val="0"/>
        <w:spacing w:line="240" w:lineRule="auto"/>
        <w:ind w:right="0" w:rightChars="0" w:firstLine="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建议</w:t>
      </w:r>
      <w:r>
        <w:rPr>
          <w:rFonts w:hint="eastAsia" w:ascii="仿宋_GB2312" w:hAnsi="仿宋_GB2312" w:eastAsia="仿宋_GB2312" w:cs="仿宋_GB2312"/>
          <w:b w:val="0"/>
          <w:bCs w:val="0"/>
          <w:sz w:val="21"/>
          <w:szCs w:val="21"/>
          <w:lang w:eastAsia="zh-CN"/>
        </w:rPr>
        <w:t>本考纲内容</w:t>
      </w:r>
      <w:r>
        <w:rPr>
          <w:rFonts w:hint="eastAsia" w:ascii="仿宋_GB2312" w:hAnsi="仿宋_GB2312" w:eastAsia="仿宋_GB2312" w:cs="仿宋_GB2312"/>
          <w:b w:val="0"/>
          <w:bCs w:val="0"/>
          <w:sz w:val="21"/>
          <w:szCs w:val="21"/>
        </w:rPr>
        <w:t>学时如下：</w:t>
      </w:r>
    </w:p>
    <w:tbl>
      <w:tblPr>
        <w:tblStyle w:val="11"/>
        <w:tblW w:w="83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01"/>
        <w:gridCol w:w="2938"/>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701"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章 次</w:t>
            </w:r>
          </w:p>
        </w:tc>
        <w:tc>
          <w:tcPr>
            <w:tcW w:w="2938"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学习内容</w:t>
            </w:r>
          </w:p>
        </w:tc>
        <w:tc>
          <w:tcPr>
            <w:tcW w:w="2736"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建议学时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701"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第一章</w:t>
            </w:r>
          </w:p>
        </w:tc>
        <w:tc>
          <w:tcPr>
            <w:tcW w:w="2938"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发展历程</w:t>
            </w:r>
          </w:p>
        </w:tc>
        <w:tc>
          <w:tcPr>
            <w:tcW w:w="2736"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701"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第二章</w:t>
            </w:r>
          </w:p>
        </w:tc>
        <w:tc>
          <w:tcPr>
            <w:tcW w:w="2938"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COSO框架</w:t>
            </w:r>
          </w:p>
        </w:tc>
        <w:tc>
          <w:tcPr>
            <w:tcW w:w="2736"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701"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第三章</w:t>
            </w:r>
          </w:p>
        </w:tc>
        <w:tc>
          <w:tcPr>
            <w:tcW w:w="2938"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中国标准</w:t>
            </w:r>
          </w:p>
        </w:tc>
        <w:tc>
          <w:tcPr>
            <w:tcW w:w="2736"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701"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第四章</w:t>
            </w:r>
          </w:p>
        </w:tc>
        <w:tc>
          <w:tcPr>
            <w:tcW w:w="2938"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内部环境</w:t>
            </w:r>
          </w:p>
        </w:tc>
        <w:tc>
          <w:tcPr>
            <w:tcW w:w="2736"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701"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第五章</w:t>
            </w:r>
          </w:p>
        </w:tc>
        <w:tc>
          <w:tcPr>
            <w:tcW w:w="2938"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风险识别</w:t>
            </w:r>
          </w:p>
        </w:tc>
        <w:tc>
          <w:tcPr>
            <w:tcW w:w="2736"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701"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第六章</w:t>
            </w:r>
          </w:p>
        </w:tc>
        <w:tc>
          <w:tcPr>
            <w:tcW w:w="2938"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风险分析</w:t>
            </w:r>
          </w:p>
        </w:tc>
        <w:tc>
          <w:tcPr>
            <w:tcW w:w="2736"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701"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第七章</w:t>
            </w:r>
          </w:p>
        </w:tc>
        <w:tc>
          <w:tcPr>
            <w:tcW w:w="2938"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风险应对</w:t>
            </w:r>
          </w:p>
        </w:tc>
        <w:tc>
          <w:tcPr>
            <w:tcW w:w="2736"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701"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第八章</w:t>
            </w:r>
          </w:p>
        </w:tc>
        <w:tc>
          <w:tcPr>
            <w:tcW w:w="2938"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控制活动</w:t>
            </w:r>
          </w:p>
        </w:tc>
        <w:tc>
          <w:tcPr>
            <w:tcW w:w="2736"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701"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第九章</w:t>
            </w:r>
          </w:p>
        </w:tc>
        <w:tc>
          <w:tcPr>
            <w:tcW w:w="2938"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信息与沟通</w:t>
            </w:r>
          </w:p>
        </w:tc>
        <w:tc>
          <w:tcPr>
            <w:tcW w:w="2736"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5" w:hRule="atLeast"/>
        </w:trPr>
        <w:tc>
          <w:tcPr>
            <w:tcW w:w="2701"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第十章</w:t>
            </w:r>
          </w:p>
        </w:tc>
        <w:tc>
          <w:tcPr>
            <w:tcW w:w="2938"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内部监督</w:t>
            </w:r>
          </w:p>
        </w:tc>
        <w:tc>
          <w:tcPr>
            <w:tcW w:w="2736"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8</w:t>
            </w:r>
          </w:p>
        </w:tc>
      </w:tr>
    </w:tbl>
    <w:p>
      <w:pPr>
        <w:keepNext w:val="0"/>
        <w:keepLines w:val="0"/>
        <w:pageBreakBefore w:val="0"/>
        <w:kinsoku/>
        <w:wordWrap/>
        <w:overflowPunct/>
        <w:topLinePunct w:val="0"/>
        <w:autoSpaceDE/>
        <w:autoSpaceDN/>
        <w:bidi w:val="0"/>
        <w:snapToGrid w:val="0"/>
        <w:spacing w:line="240" w:lineRule="auto"/>
        <w:ind w:left="422"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ab/>
      </w:r>
    </w:p>
    <w:p>
      <w:pPr>
        <w:keepNext w:val="0"/>
        <w:keepLines w:val="0"/>
        <w:pageBreakBefore w:val="0"/>
        <w:numPr>
          <w:ilvl w:val="0"/>
          <w:numId w:val="0"/>
        </w:numPr>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lang w:val="en-US" w:eastAsia="zh-CN"/>
          <w14:textFill>
            <w14:solidFill>
              <w14:schemeClr w14:val="tx1"/>
            </w14:solidFill>
          </w14:textFill>
        </w:rPr>
        <w:t>六、</w:t>
      </w:r>
      <w:r>
        <w:rPr>
          <w:rFonts w:hint="eastAsia" w:ascii="仿宋_GB2312" w:hAnsi="仿宋_GB2312" w:eastAsia="仿宋_GB2312" w:cs="仿宋_GB2312"/>
          <w:b w:val="0"/>
          <w:bCs w:val="0"/>
          <w:color w:val="000000" w:themeColor="text1"/>
          <w:sz w:val="21"/>
          <w:szCs w:val="21"/>
          <w14:textFill>
            <w14:solidFill>
              <w14:schemeClr w14:val="tx1"/>
            </w14:solidFill>
          </w14:textFill>
        </w:rPr>
        <w:t>对考核内容的说明</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 本课程要求考生学习和掌握的知识点都是本课程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三个认知（或叫能力）层次确定其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2.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w:t>
      </w:r>
    </w:p>
    <w:p>
      <w:pPr>
        <w:keepNext w:val="0"/>
        <w:keepLines w:val="0"/>
        <w:pageBreakBefore w:val="0"/>
        <w:kinsoku/>
        <w:wordWrap/>
        <w:overflowPunct/>
        <w:topLinePunct w:val="0"/>
        <w:autoSpaceDE/>
        <w:autoSpaceDN/>
        <w:bidi w:val="0"/>
        <w:snapToGrid w:val="0"/>
        <w:spacing w:line="240" w:lineRule="auto"/>
        <w:ind w:right="0" w:rightChars="0" w:firstLine="0" w:firstLine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lang w:val="en-US" w:eastAsia="zh-CN"/>
          <w14:textFill>
            <w14:solidFill>
              <w14:schemeClr w14:val="tx1"/>
            </w14:solidFill>
          </w14:textFill>
        </w:rPr>
        <w:t>七</w:t>
      </w:r>
      <w:r>
        <w:rPr>
          <w:rFonts w:hint="eastAsia" w:ascii="仿宋_GB2312" w:hAnsi="仿宋_GB2312" w:eastAsia="仿宋_GB2312" w:cs="仿宋_GB2312"/>
          <w:b w:val="0"/>
          <w:bCs w:val="0"/>
          <w:color w:val="000000" w:themeColor="text1"/>
          <w:sz w:val="21"/>
          <w:szCs w:val="21"/>
          <w14:textFill>
            <w14:solidFill>
              <w14:schemeClr w14:val="tx1"/>
            </w14:solidFill>
          </w14:textFill>
        </w:rPr>
        <w:t>、关于考试命题的若干规定</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1、本课程考试采用闭卷笔试方式考核，考试时间150分钟</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满分100分,60分及格</w:t>
      </w:r>
      <w:r>
        <w:rPr>
          <w:rFonts w:hint="eastAsia" w:ascii="仿宋_GB2312" w:hAnsi="仿宋_GB2312" w:eastAsia="仿宋_GB2312" w:cs="仿宋_GB2312"/>
          <w:b w:val="0"/>
          <w:bCs w:val="0"/>
          <w:color w:val="000000" w:themeColor="text1"/>
          <w:sz w:val="21"/>
          <w:szCs w:val="21"/>
          <w14:textFill>
            <w14:solidFill>
              <w14:schemeClr w14:val="tx1"/>
            </w14:solidFill>
          </w14:textFill>
        </w:rPr>
        <w:t>。考试时只允许携带笔、橡皮和尺，答卷必须使用蓝色或黑色钢笔或签字笔书写。考试时因有些数据需要计算，故可携带无记忆存储功能以及无通讯功能的计算器。</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2、本大纲各章所规定的基本要求、知识点及知识点下的知识细目，都属于考核的内容。考试命题既要覆盖到章，又要避免面面俱到。要注意突出课程的重点、章节重点，加大重点内容的覆盖度。</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3、命题中不应有超出大纲中考核知识点范围的题，考核目标不得高于大纲中所规定的相应的最高能力层次要求。命题应着重考核自学者对基本概念、基本知识和基本理论是否了解或掌握，对基本方法是否会用或熟练。不应出与基本要求不符的偏题或怪题。</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4、本课程在试卷中对不同能力层次要求的分数比例大致为：识记占30%，领会占30%，应用占40%。</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5、要合理安排试题的难易程度，试题的难度可分为：易、较易、较难和难四个等级。每份试卷中不同难度试题的分数比例一般为：易占20%，较易占30%，较难占30%，难占20%。</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必须注意试题的难易程度与能力层次有一定的联系，但两者不是等同的概念，在各个能力层次都有不同难度的试题。</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6、</w:t>
      </w:r>
      <w:r>
        <w:rPr>
          <w:rFonts w:hint="eastAsia" w:ascii="仿宋_GB2312" w:hAnsi="仿宋_GB2312" w:eastAsia="仿宋_GB2312" w:cs="仿宋_GB2312"/>
          <w:b w:val="0"/>
          <w:bCs w:val="0"/>
          <w:sz w:val="21"/>
          <w:szCs w:val="21"/>
        </w:rPr>
        <w:t>各种题型的具体样式参见本大纲附录。</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p>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bCs/>
          <w:color w:val="000000" w:themeColor="text1"/>
          <w:sz w:val="21"/>
          <w:szCs w:val="21"/>
          <w:lang w:val="en-US" w:eastAsia="zh-CN"/>
          <w14:textFill>
            <w14:solidFill>
              <w14:schemeClr w14:val="tx1"/>
            </w14:solidFill>
          </w14:textFill>
        </w:rPr>
      </w:pPr>
    </w:p>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bCs/>
          <w:color w:val="000000" w:themeColor="text1"/>
          <w:sz w:val="21"/>
          <w:szCs w:val="21"/>
          <w14:textFill>
            <w14:solidFill>
              <w14:schemeClr w14:val="tx1"/>
            </w14:solidFill>
          </w14:textFill>
        </w:rPr>
      </w:pPr>
      <w:r>
        <w:rPr>
          <w:rFonts w:hint="eastAsia" w:ascii="仿宋_GB2312" w:hAnsi="仿宋_GB2312" w:eastAsia="仿宋_GB2312" w:cs="仿宋_GB2312"/>
          <w:b/>
          <w:bCs/>
          <w:color w:val="000000" w:themeColor="text1"/>
          <w:sz w:val="21"/>
          <w:szCs w:val="21"/>
          <w:lang w:val="en-US" w:eastAsia="zh-CN"/>
          <w14:textFill>
            <w14:solidFill>
              <w14:schemeClr w14:val="tx1"/>
            </w14:solidFill>
          </w14:textFill>
        </w:rPr>
        <w:t xml:space="preserve">附录 </w:t>
      </w:r>
      <w:r>
        <w:rPr>
          <w:rFonts w:hint="eastAsia" w:ascii="仿宋_GB2312" w:hAnsi="仿宋_GB2312" w:eastAsia="仿宋_GB2312" w:cs="仿宋_GB2312"/>
          <w:b/>
          <w:bCs/>
          <w:color w:val="000000" w:themeColor="text1"/>
          <w:sz w:val="21"/>
          <w:szCs w:val="21"/>
          <w14:textFill>
            <w14:solidFill>
              <w14:schemeClr w14:val="tx1"/>
            </w14:solidFill>
          </w14:textFill>
        </w:rPr>
        <w:t>题型举例</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一、单项选择题（在每小题后的4个备选项中只有一个是符合题目要求的，请将其选出并填写在题后的括号内）</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1、内部控制结构阶段又称三要素阶段,其中不包括的要素是（）</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A．控制环境       B．风险评估</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C．会计系统       D．控制程序</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二</w:t>
      </w:r>
      <w:r>
        <w:rPr>
          <w:rFonts w:hint="eastAsia" w:ascii="仿宋_GB2312" w:hAnsi="仿宋_GB2312" w:eastAsia="仿宋_GB2312" w:cs="仿宋_GB2312"/>
          <w:b w:val="0"/>
          <w:bCs w:val="0"/>
          <w:color w:val="000000" w:themeColor="text1"/>
          <w:sz w:val="21"/>
          <w:szCs w:val="21"/>
          <w14:textFill>
            <w14:solidFill>
              <w14:schemeClr w14:val="tx1"/>
            </w14:solidFill>
          </w14:textFill>
        </w:rPr>
        <w:t>、判断题（请将正确的打“√”，错误的打“×”）</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1、内部控制无效是指因设计和执行内部控制的成本过高而无法实施。 （  ）</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三</w:t>
      </w:r>
      <w:r>
        <w:rPr>
          <w:rFonts w:hint="eastAsia" w:ascii="仿宋_GB2312" w:hAnsi="仿宋_GB2312" w:eastAsia="仿宋_GB2312" w:cs="仿宋_GB2312"/>
          <w:b w:val="0"/>
          <w:bCs w:val="0"/>
          <w:color w:val="000000" w:themeColor="text1"/>
          <w:sz w:val="21"/>
          <w:szCs w:val="21"/>
          <w14:textFill>
            <w14:solidFill>
              <w14:schemeClr w14:val="tx1"/>
            </w14:solidFill>
          </w14:textFill>
        </w:rPr>
        <w:t>、简答题</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1.企业制定与实施发展战略存在的风险？</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四</w:t>
      </w:r>
      <w:r>
        <w:rPr>
          <w:rFonts w:hint="eastAsia" w:ascii="仿宋_GB2312" w:hAnsi="仿宋_GB2312" w:eastAsia="仿宋_GB2312" w:cs="仿宋_GB2312"/>
          <w:b w:val="0"/>
          <w:bCs w:val="0"/>
          <w:color w:val="000000" w:themeColor="text1"/>
          <w:sz w:val="21"/>
          <w:szCs w:val="21"/>
          <w14:textFill>
            <w14:solidFill>
              <w14:schemeClr w14:val="tx1"/>
            </w14:solidFill>
          </w14:textFill>
        </w:rPr>
        <w:t>、论述题</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 财务报告内容控制的关键风险点和主要控制措施？</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五</w:t>
      </w:r>
      <w:r>
        <w:rPr>
          <w:rFonts w:hint="eastAsia" w:ascii="仿宋_GB2312" w:hAnsi="仿宋_GB2312" w:eastAsia="仿宋_GB2312" w:cs="仿宋_GB2312"/>
          <w:b w:val="0"/>
          <w:bCs w:val="0"/>
          <w:color w:val="000000" w:themeColor="text1"/>
          <w:sz w:val="21"/>
          <w:szCs w:val="21"/>
          <w14:textFill>
            <w14:solidFill>
              <w14:schemeClr w14:val="tx1"/>
            </w14:solidFill>
          </w14:textFill>
        </w:rPr>
        <w:t>、案例分析题</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杰克公司的前身是一家国有企业，始建于1978年。1998年转制，改名为杰克公司，经过数十年的发展积累了相当丰富的工艺技术和一定的管理经验，有许多公司管理制度。公司经过多年的不间断改造、完善，提高了产品的生产能力和产品市场竞争能力，并引进了先进的生产设备。公司具有较强的新产品开发能力，主要生产5大系列28个品种120多种规格的低压和高压、低速和高速、异步和同步电动机。公司具有完整的质量保证体系，2002年通过ISO9000系列质量管理体系认证。公司年创产值28亿元，实现利润360万元。企业现有员工600多人，30%以上具有初、中级技术资格，配备管理人员118人，专职检验人员86人，建立了技术含量较高的员工队伍。随着公司的发展壮大，在经营过程中出现了一些问题，已经影响到公司的发展。</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该公司出纳员李敏，给人印象兢兢业业、勤勤恳恳、待人热情、工作中积极肯干，不论分内分外的事，她都主动去做，受到领导的器重、同事的信任。而事实上，李敏在其工作的一年半期间，先后利用22张现金支票编造各种理由提取现金98.96万元，均未记入现金日记账，构成贪污罪。</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其具体手段如下：</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（1）隐匿3笔结汇收入和7笔会计开好的收汇转账单（记账联），共计10笔销售收入98.96万元，将其提现的金额与其隐匿的收入相抵，使32笔收支业务均未在银行存款日记账和银行余额调节表中反映；</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（2）由于公司财务印鉴和行政印鉴合并，统一由行政人员保管，李敏利用行政人员疏于监督开具现金支票；</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3）伪造银行对账单，将提现的整数金额改成带尾数的金额，并将提现的银行代码“11”改成托收的代码“88”。杰克公司在清理逾期未收汇时曾经发现有3笔结汇收入未在银行日记账和余额调节表中反映，但当时由于人手较少未能对此进行专项清查。</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李敏之所以能在一年半的时间内作案22次，主要原因在于公司缺乏一套相互牵制的、有效的约束机制和监督机制，从而使李敏截留收入的贪污行为畅通无阻。</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问题：</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从内部控制活动的角度分析杰克公司在内部控制过程中存在哪些问题，应该采取哪些措施？</w:t>
      </w:r>
    </w:p>
    <w:p>
      <w:pPr>
        <w:spacing w:line="390" w:lineRule="exact"/>
        <w:ind w:firstLine="480" w:firstLineChars="200"/>
        <w:rPr>
          <w:rFonts w:ascii="宋体" w:hAnsi="宋体" w:cs="宋体"/>
          <w:b w:val="0"/>
          <w:bCs w:val="0"/>
          <w:color w:val="000000" w:themeColor="text1"/>
          <w:sz w:val="24"/>
          <w14:textFill>
            <w14:solidFill>
              <w14:schemeClr w14:val="tx1"/>
            </w14:solidFill>
          </w14:textFill>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roman"/>
    <w:pitch w:val="default"/>
    <w:sig w:usb0="00000000" w:usb1="00000000" w:usb2="0000003F" w:usb3="00000000" w:csb0="603F01FF" w:csb1="FFFF0000"/>
  </w:font>
  <w:font w:name="Arial">
    <w:panose1 w:val="020B0604020202020204"/>
    <w:charset w:val="00"/>
    <w:family w:val="auto"/>
    <w:pitch w:val="default"/>
    <w:sig w:usb0="E0002EFF" w:usb1="C000785B" w:usb2="00000009" w:usb3="00000000" w:csb0="400001FF" w:csb1="FFFF0000"/>
  </w:font>
  <w:font w:name="Microsoft JhengHei">
    <w:panose1 w:val="020B0604030504040204"/>
    <w:charset w:val="88"/>
    <w:family w:val="swiss"/>
    <w:pitch w:val="default"/>
    <w:sig w:usb0="000002A7" w:usb1="28CF4400" w:usb2="00000016" w:usb3="00000000" w:csb0="00100009"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Arial Unicode MS">
    <w:altName w:val="Arial"/>
    <w:panose1 w:val="020B0604020202020204"/>
    <w:charset w:val="00"/>
    <w:family w:val="roman"/>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Arial Unicode MS">
    <w:altName w:val="Arial"/>
    <w:panose1 w:val="020B0604020202020204"/>
    <w:charset w:val="80"/>
    <w:family w:val="swiss"/>
    <w:pitch w:val="default"/>
    <w:sig w:usb0="00000000" w:usb1="00000000" w:usb2="0000003F" w:usb3="00000000" w:csb0="603F01FF" w:csb1="FFFF0000"/>
  </w:font>
  <w:font w:name="等线 Light">
    <w:panose1 w:val="02010600030101010101"/>
    <w:charset w:val="86"/>
    <w:family w:val="auto"/>
    <w:pitch w:val="default"/>
    <w:sig w:usb0="A00002BF" w:usb1="38CF7CFA" w:usb2="00000016" w:usb3="00000000" w:csb0="0004000F" w:csb1="00000000"/>
  </w:font>
  <w:font w:name="Arial">
    <w:panose1 w:val="020B0604020202020204"/>
    <w:charset w:val="80"/>
    <w:family w:val="swiss"/>
    <w:pitch w:val="default"/>
    <w:sig w:usb0="E0002EFF" w:usb1="C000785B" w:usb2="00000009" w:usb3="00000000" w:csb0="400001FF" w:csb1="FFFF0000"/>
  </w:font>
  <w:font w:name="楷体_GB2312">
    <w:altName w:val="楷体"/>
    <w:panose1 w:val="00000000000000000000"/>
    <w:charset w:val="00"/>
    <w:family w:val="auto"/>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50186642"/>
    </w:sdtPr>
    <w:sdtContent>
      <w:p>
        <w:pPr>
          <w:pStyle w:val="5"/>
          <w:jc w:val="right"/>
        </w:pPr>
        <w:r>
          <w:fldChar w:fldCharType="begin"/>
        </w:r>
        <w:r>
          <w:instrText xml:space="preserve">PAGE   \* MERGEFORMAT</w:instrText>
        </w:r>
        <w:r>
          <w:fldChar w:fldCharType="separate"/>
        </w:r>
        <w:r>
          <w:rPr>
            <w:lang w:val="zh-CN"/>
          </w:rPr>
          <w:t>2</w:t>
        </w:r>
        <w:r>
          <w:fldChar w:fldCharType="end"/>
        </w:r>
      </w:p>
    </w:sdtContent>
  </w:sdt>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53123A"/>
    <w:multiLevelType w:val="singleLevel"/>
    <w:tmpl w:val="4B53123A"/>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Y2MjE4NTMzMDI4MzZjNDk4ZDY5NWE0MmU5ZTYyZDEifQ=="/>
  </w:docVars>
  <w:rsids>
    <w:rsidRoot w:val="004C6B9B"/>
    <w:rsid w:val="0003296C"/>
    <w:rsid w:val="00032990"/>
    <w:rsid w:val="00054855"/>
    <w:rsid w:val="00061541"/>
    <w:rsid w:val="00071FCE"/>
    <w:rsid w:val="00094CA6"/>
    <w:rsid w:val="000A2950"/>
    <w:rsid w:val="000B1876"/>
    <w:rsid w:val="000D46CE"/>
    <w:rsid w:val="00114039"/>
    <w:rsid w:val="001175A7"/>
    <w:rsid w:val="001327F1"/>
    <w:rsid w:val="00170904"/>
    <w:rsid w:val="001A3A58"/>
    <w:rsid w:val="001A42EE"/>
    <w:rsid w:val="001B22DB"/>
    <w:rsid w:val="001B3FED"/>
    <w:rsid w:val="00217B28"/>
    <w:rsid w:val="002A747E"/>
    <w:rsid w:val="002E4FB0"/>
    <w:rsid w:val="00316D04"/>
    <w:rsid w:val="003366EE"/>
    <w:rsid w:val="003B35CE"/>
    <w:rsid w:val="003D1FAC"/>
    <w:rsid w:val="003E50AC"/>
    <w:rsid w:val="0040650E"/>
    <w:rsid w:val="004656A1"/>
    <w:rsid w:val="004C6B9B"/>
    <w:rsid w:val="004E147E"/>
    <w:rsid w:val="00501615"/>
    <w:rsid w:val="00521976"/>
    <w:rsid w:val="00544C1F"/>
    <w:rsid w:val="005617E8"/>
    <w:rsid w:val="00593C28"/>
    <w:rsid w:val="0059621B"/>
    <w:rsid w:val="005C11AC"/>
    <w:rsid w:val="005F0BEA"/>
    <w:rsid w:val="0061720F"/>
    <w:rsid w:val="00656ACB"/>
    <w:rsid w:val="00663349"/>
    <w:rsid w:val="00667FBF"/>
    <w:rsid w:val="00670911"/>
    <w:rsid w:val="006869B2"/>
    <w:rsid w:val="00690858"/>
    <w:rsid w:val="00691BE7"/>
    <w:rsid w:val="0069274B"/>
    <w:rsid w:val="006E3C6E"/>
    <w:rsid w:val="00755885"/>
    <w:rsid w:val="00760E60"/>
    <w:rsid w:val="007D5FDA"/>
    <w:rsid w:val="007E7986"/>
    <w:rsid w:val="008221E9"/>
    <w:rsid w:val="00883442"/>
    <w:rsid w:val="008C2369"/>
    <w:rsid w:val="009563B6"/>
    <w:rsid w:val="00985440"/>
    <w:rsid w:val="00A36ABB"/>
    <w:rsid w:val="00A713DA"/>
    <w:rsid w:val="00A71591"/>
    <w:rsid w:val="00A96A2D"/>
    <w:rsid w:val="00AF24CD"/>
    <w:rsid w:val="00B245F7"/>
    <w:rsid w:val="00BB584F"/>
    <w:rsid w:val="00BD6F3D"/>
    <w:rsid w:val="00C05E20"/>
    <w:rsid w:val="00C2268B"/>
    <w:rsid w:val="00C42C95"/>
    <w:rsid w:val="00C9256F"/>
    <w:rsid w:val="00CB457D"/>
    <w:rsid w:val="00D2301F"/>
    <w:rsid w:val="00DA486B"/>
    <w:rsid w:val="00DC04AC"/>
    <w:rsid w:val="00E413CB"/>
    <w:rsid w:val="00E63802"/>
    <w:rsid w:val="00E74975"/>
    <w:rsid w:val="00E76EBF"/>
    <w:rsid w:val="00EB360C"/>
    <w:rsid w:val="00EB6364"/>
    <w:rsid w:val="00EC0826"/>
    <w:rsid w:val="00EE43E0"/>
    <w:rsid w:val="00F2549B"/>
    <w:rsid w:val="00F61C76"/>
    <w:rsid w:val="02A101DF"/>
    <w:rsid w:val="02E62FD5"/>
    <w:rsid w:val="035B633E"/>
    <w:rsid w:val="03F67248"/>
    <w:rsid w:val="045D1075"/>
    <w:rsid w:val="093A1985"/>
    <w:rsid w:val="0B1910D2"/>
    <w:rsid w:val="0B70168E"/>
    <w:rsid w:val="119804CB"/>
    <w:rsid w:val="138F0B1F"/>
    <w:rsid w:val="15BB3E4D"/>
    <w:rsid w:val="17011D34"/>
    <w:rsid w:val="17285513"/>
    <w:rsid w:val="1E2527AC"/>
    <w:rsid w:val="1F3E6BCE"/>
    <w:rsid w:val="21D00C81"/>
    <w:rsid w:val="22617B2B"/>
    <w:rsid w:val="231C4372"/>
    <w:rsid w:val="2A266489"/>
    <w:rsid w:val="2A742AF1"/>
    <w:rsid w:val="2CF27CFD"/>
    <w:rsid w:val="2D2B1461"/>
    <w:rsid w:val="31615451"/>
    <w:rsid w:val="346425FC"/>
    <w:rsid w:val="34B34216"/>
    <w:rsid w:val="36686710"/>
    <w:rsid w:val="368816D2"/>
    <w:rsid w:val="38CE4BE2"/>
    <w:rsid w:val="39D92970"/>
    <w:rsid w:val="3A4B3D48"/>
    <w:rsid w:val="3B950B19"/>
    <w:rsid w:val="3C2459F9"/>
    <w:rsid w:val="42F97BDF"/>
    <w:rsid w:val="43012CC6"/>
    <w:rsid w:val="43054951"/>
    <w:rsid w:val="44670B79"/>
    <w:rsid w:val="4F161B19"/>
    <w:rsid w:val="57730732"/>
    <w:rsid w:val="597B0EF6"/>
    <w:rsid w:val="61C3168D"/>
    <w:rsid w:val="66F07D3F"/>
    <w:rsid w:val="6C281BF9"/>
    <w:rsid w:val="6DCC06AB"/>
    <w:rsid w:val="6F355453"/>
    <w:rsid w:val="723E2669"/>
    <w:rsid w:val="72F84F0E"/>
    <w:rsid w:val="74471CA9"/>
    <w:rsid w:val="74FB5292"/>
    <w:rsid w:val="79B3393D"/>
    <w:rsid w:val="7D517E81"/>
    <w:rsid w:val="7DFA5478"/>
    <w:rsid w:val="7E130E4E"/>
    <w:rsid w:val="7E1814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unhideWhenUsed/>
    <w:qFormat/>
    <w:uiPriority w:val="1"/>
  </w:style>
  <w:style w:type="table" w:default="1" w:styleId="10">
    <w:name w:val="Normal Table"/>
    <w:unhideWhenUsed/>
    <w:qFormat/>
    <w:uiPriority w:val="99"/>
    <w:tblPr>
      <w:tblLayout w:type="fixed"/>
      <w:tblCellMar>
        <w:top w:w="0" w:type="dxa"/>
        <w:left w:w="108" w:type="dxa"/>
        <w:bottom w:w="0" w:type="dxa"/>
        <w:right w:w="108" w:type="dxa"/>
      </w:tblCellMar>
    </w:tblPr>
  </w:style>
  <w:style w:type="paragraph" w:styleId="2">
    <w:name w:val="annotation subject"/>
    <w:basedOn w:val="3"/>
    <w:next w:val="3"/>
    <w:link w:val="16"/>
    <w:qFormat/>
    <w:uiPriority w:val="0"/>
    <w:rPr>
      <w:b/>
      <w:bCs/>
    </w:rPr>
  </w:style>
  <w:style w:type="paragraph" w:styleId="3">
    <w:name w:val="annotation text"/>
    <w:basedOn w:val="1"/>
    <w:link w:val="15"/>
    <w:qFormat/>
    <w:uiPriority w:val="0"/>
    <w:pPr>
      <w:jc w:val="left"/>
    </w:pPr>
  </w:style>
  <w:style w:type="paragraph" w:styleId="4">
    <w:name w:val="Body Text Indent"/>
    <w:basedOn w:val="1"/>
    <w:qFormat/>
    <w:uiPriority w:val="0"/>
    <w:pPr>
      <w:spacing w:after="120"/>
      <w:ind w:left="420" w:leftChars="200"/>
    </w:pPr>
  </w:style>
  <w:style w:type="paragraph" w:styleId="5">
    <w:name w:val="footer"/>
    <w:basedOn w:val="1"/>
    <w:link w:val="13"/>
    <w:qFormat/>
    <w:uiPriority w:val="99"/>
    <w:pPr>
      <w:tabs>
        <w:tab w:val="center" w:pos="4153"/>
        <w:tab w:val="right" w:pos="8306"/>
      </w:tabs>
      <w:snapToGrid w:val="0"/>
      <w:jc w:val="left"/>
    </w:pPr>
    <w:rPr>
      <w:sz w:val="18"/>
      <w:szCs w:val="18"/>
    </w:rPr>
  </w:style>
  <w:style w:type="paragraph" w:styleId="6">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99"/>
    <w:pPr>
      <w:widowControl/>
      <w:spacing w:before="100" w:beforeAutospacing="1" w:after="100" w:afterAutospacing="1"/>
      <w:jc w:val="left"/>
    </w:pPr>
    <w:rPr>
      <w:rFonts w:ascii="Arial Unicode MS" w:hAnsi="Arial Unicode MS" w:eastAsia="Arial Unicode MS" w:cs="Arial Unicode MS"/>
      <w:color w:val="000000"/>
      <w:kern w:val="0"/>
      <w:sz w:val="24"/>
    </w:rPr>
  </w:style>
  <w:style w:type="character" w:styleId="9">
    <w:name w:val="annotation reference"/>
    <w:basedOn w:val="8"/>
    <w:qFormat/>
    <w:uiPriority w:val="0"/>
    <w:rPr>
      <w:sz w:val="21"/>
      <w:szCs w:val="21"/>
    </w:rPr>
  </w:style>
  <w:style w:type="table" w:styleId="11">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2">
    <w:name w:val="页眉 字符"/>
    <w:basedOn w:val="8"/>
    <w:link w:val="6"/>
    <w:qFormat/>
    <w:uiPriority w:val="0"/>
    <w:rPr>
      <w:rFonts w:ascii="Times New Roman" w:hAnsi="Times New Roman" w:eastAsia="宋体" w:cs="Times New Roman"/>
      <w:kern w:val="2"/>
      <w:sz w:val="18"/>
      <w:szCs w:val="18"/>
    </w:rPr>
  </w:style>
  <w:style w:type="character" w:customStyle="1" w:styleId="13">
    <w:name w:val="页脚 字符"/>
    <w:basedOn w:val="8"/>
    <w:link w:val="5"/>
    <w:qFormat/>
    <w:uiPriority w:val="99"/>
    <w:rPr>
      <w:rFonts w:ascii="Times New Roman" w:hAnsi="Times New Roman" w:eastAsia="宋体" w:cs="Times New Roman"/>
      <w:kern w:val="2"/>
      <w:sz w:val="18"/>
      <w:szCs w:val="18"/>
    </w:rPr>
  </w:style>
  <w:style w:type="paragraph" w:customStyle="1" w:styleId="14">
    <w:name w:val="List Paragraph"/>
    <w:basedOn w:val="1"/>
    <w:qFormat/>
    <w:uiPriority w:val="99"/>
    <w:pPr>
      <w:ind w:firstLine="420" w:firstLineChars="200"/>
    </w:pPr>
  </w:style>
  <w:style w:type="character" w:customStyle="1" w:styleId="15">
    <w:name w:val="批注文字 字符"/>
    <w:basedOn w:val="8"/>
    <w:link w:val="3"/>
    <w:qFormat/>
    <w:uiPriority w:val="0"/>
    <w:rPr>
      <w:rFonts w:ascii="Times New Roman" w:hAnsi="Times New Roman" w:eastAsia="宋体" w:cs="Times New Roman"/>
      <w:kern w:val="2"/>
      <w:sz w:val="21"/>
      <w:szCs w:val="24"/>
    </w:rPr>
  </w:style>
  <w:style w:type="character" w:customStyle="1" w:styleId="16">
    <w:name w:val="批注主题 字符"/>
    <w:basedOn w:val="15"/>
    <w:link w:val="2"/>
    <w:qFormat/>
    <w:uiPriority w:val="0"/>
    <w:rPr>
      <w:rFonts w:ascii="Times New Roman" w:hAnsi="Times New Roman" w:eastAsia="宋体" w:cs="Times New Roman"/>
      <w:b/>
      <w:bCs/>
      <w:kern w:val="2"/>
      <w:sz w:val="21"/>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20</Pages>
  <Words>11198</Words>
  <Characters>11315</Characters>
  <Lines>90</Lines>
  <Paragraphs>25</Paragraphs>
  <TotalTime>2</TotalTime>
  <ScaleCrop>false</ScaleCrop>
  <LinksUpToDate>false</LinksUpToDate>
  <CharactersWithSpaces>11418</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2023-03-23T14:24:00Z</dcterms:created>
  <dc:creator>Administrator</dc:creator>
  <cp:lastModifiedBy>梁磊</cp:lastModifiedBy>
  <dcterms:modified xsi:type="dcterms:W3CDTF">2023-07-08T09:06:53Z</dcterms:modified>
  <cp:revision>54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5F3D9BF51618424787DB65EE1D979EF4</vt:lpwstr>
  </property>
</Properties>
</file>