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snapToGrid w:val="0"/>
        <w:spacing w:line="240" w:lineRule="auto"/>
        <w:ind w:right="0" w:rightChars="0" w:firstLine="422" w:firstLineChars="200"/>
        <w:jc w:val="center"/>
        <w:outlineLvl w:val="9"/>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lang w:val="en-US" w:eastAsia="zh-CN"/>
        </w:rPr>
        <w:t>广东省高等教育自学考试</w:t>
      </w:r>
      <w:r>
        <w:rPr>
          <w:rFonts w:hint="eastAsia" w:ascii="仿宋_GB2312" w:hAnsi="仿宋_GB2312" w:eastAsia="仿宋_GB2312" w:cs="仿宋_GB2312"/>
          <w:b/>
          <w:bCs/>
          <w:sz w:val="21"/>
          <w:szCs w:val="21"/>
          <w:lang w:eastAsia="zh-CN"/>
        </w:rPr>
        <w:t>《交通运输安全》</w:t>
      </w:r>
      <w:r>
        <w:rPr>
          <w:rFonts w:hint="eastAsia" w:ascii="仿宋_GB2312" w:hAnsi="仿宋_GB2312" w:eastAsia="仿宋_GB2312" w:cs="仿宋_GB2312"/>
          <w:b/>
          <w:bCs/>
          <w:sz w:val="21"/>
          <w:szCs w:val="21"/>
          <w:lang w:val="en-US" w:eastAsia="zh-CN"/>
        </w:rPr>
        <w:t>课程</w:t>
      </w:r>
      <w:r>
        <w:rPr>
          <w:rFonts w:hint="eastAsia" w:ascii="仿宋_GB2312" w:hAnsi="仿宋_GB2312" w:eastAsia="仿宋_GB2312" w:cs="仿宋_GB2312"/>
          <w:b/>
          <w:bCs/>
          <w:sz w:val="21"/>
          <w:szCs w:val="21"/>
        </w:rPr>
        <w:t>考试大纲</w:t>
      </w:r>
    </w:p>
    <w:p>
      <w:pPr>
        <w:keepNext w:val="0"/>
        <w:keepLines w:val="0"/>
        <w:pageBreakBefore w:val="0"/>
        <w:widowControl w:val="0"/>
        <w:kinsoku/>
        <w:wordWrap/>
        <w:overflowPunct/>
        <w:topLinePunct w:val="0"/>
        <w:autoSpaceDE/>
        <w:autoSpaceDN/>
        <w:bidi w:val="0"/>
        <w:snapToGrid w:val="0"/>
        <w:spacing w:line="240" w:lineRule="auto"/>
        <w:ind w:right="0" w:rightChars="0" w:firstLine="422" w:firstLineChars="200"/>
        <w:jc w:val="center"/>
        <w:outlineLvl w:val="9"/>
        <w:rPr>
          <w:rFonts w:hint="eastAsia" w:ascii="仿宋_GB2312" w:hAnsi="仿宋_GB2312" w:eastAsia="仿宋_GB2312" w:cs="仿宋_GB2312"/>
          <w:b/>
          <w:bCs/>
          <w:sz w:val="21"/>
          <w:szCs w:val="21"/>
          <w:lang w:eastAsia="zh-CN"/>
        </w:rPr>
      </w:pPr>
      <w:r>
        <w:rPr>
          <w:rFonts w:hint="eastAsia" w:ascii="仿宋_GB2312" w:hAnsi="仿宋_GB2312" w:eastAsia="仿宋_GB2312" w:cs="仿宋_GB2312"/>
          <w:b/>
          <w:bCs/>
          <w:sz w:val="21"/>
          <w:szCs w:val="21"/>
          <w:lang w:eastAsia="zh-CN"/>
        </w:rPr>
        <w:t>（</w:t>
      </w:r>
      <w:r>
        <w:rPr>
          <w:rFonts w:hint="eastAsia" w:ascii="仿宋_GB2312" w:hAnsi="仿宋_GB2312" w:eastAsia="仿宋_GB2312" w:cs="仿宋_GB2312"/>
          <w:b/>
          <w:bCs/>
          <w:sz w:val="21"/>
          <w:szCs w:val="21"/>
          <w:lang w:val="en-US" w:eastAsia="zh-CN"/>
        </w:rPr>
        <w:t>课程代码：13841</w:t>
      </w:r>
      <w:r>
        <w:rPr>
          <w:rFonts w:hint="eastAsia" w:ascii="仿宋_GB2312" w:hAnsi="仿宋_GB2312" w:eastAsia="仿宋_GB2312" w:cs="仿宋_GB2312"/>
          <w:b/>
          <w:bCs/>
          <w:sz w:val="21"/>
          <w:szCs w:val="21"/>
          <w:lang w:eastAsia="zh-CN"/>
        </w:rPr>
        <w:t>）</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center"/>
        <w:rPr>
          <w:rFonts w:hint="eastAsia" w:ascii="仿宋_GB2312" w:hAnsi="仿宋_GB2312" w:eastAsia="仿宋_GB2312" w:cs="仿宋_GB2312"/>
          <w:b w:val="0"/>
          <w:bCs w:val="0"/>
          <w:sz w:val="21"/>
          <w:szCs w:val="21"/>
        </w:rPr>
      </w:pPr>
    </w:p>
    <w:p>
      <w:pPr>
        <w:keepNext w:val="0"/>
        <w:keepLines w:val="0"/>
        <w:pageBreakBefore w:val="0"/>
        <w:widowControl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bCs/>
          <w:sz w:val="21"/>
          <w:szCs w:val="21"/>
          <w:lang w:val="en-US" w:eastAsia="zh-CN"/>
        </w:rPr>
      </w:pPr>
      <w:r>
        <w:rPr>
          <w:rFonts w:hint="eastAsia" w:ascii="仿宋_GB2312" w:hAnsi="仿宋_GB2312" w:eastAsia="仿宋_GB2312" w:cs="仿宋_GB2312"/>
          <w:b/>
          <w:bCs/>
          <w:sz w:val="21"/>
          <w:szCs w:val="21"/>
          <w:lang w:val="en-US" w:eastAsia="zh-CN"/>
        </w:rPr>
        <w:t>目录</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Ⅰ  课程性质与课程目标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Ⅱ  考核目标</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color w:val="FF0000"/>
          <w:sz w:val="21"/>
          <w:szCs w:val="21"/>
        </w:rPr>
      </w:pPr>
      <w:r>
        <w:rPr>
          <w:rFonts w:hint="eastAsia" w:ascii="仿宋_GB2312" w:hAnsi="仿宋_GB2312" w:eastAsia="仿宋_GB2312" w:cs="仿宋_GB2312"/>
          <w:b w:val="0"/>
          <w:bCs w:val="0"/>
          <w:sz w:val="21"/>
          <w:szCs w:val="21"/>
        </w:rPr>
        <w:t>Ⅲ  课程内容与考核要求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Ⅳ  关于大纲的说明与考核实施要求</w:t>
      </w:r>
    </w:p>
    <w:p>
      <w:pPr>
        <w:keepNext w:val="0"/>
        <w:keepLines w:val="0"/>
        <w:pageBreakBefore w:val="0"/>
        <w:widowControl w:val="0"/>
        <w:kinsoku/>
        <w:wordWrap/>
        <w:overflowPunct/>
        <w:topLinePunct w:val="0"/>
        <w:autoSpaceDE/>
        <w:autoSpaceDN/>
        <w:bidi w:val="0"/>
        <w:snapToGrid w:val="0"/>
        <w:spacing w:line="240" w:lineRule="auto"/>
        <w:ind w:right="0" w:rightChars="0" w:firstLine="420" w:firstLineChars="2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val="en-US" w:eastAsia="zh-CN"/>
        </w:rPr>
        <w:t xml:space="preserve">附录 </w:t>
      </w:r>
      <w:r>
        <w:rPr>
          <w:rFonts w:hint="eastAsia" w:ascii="仿宋_GB2312" w:hAnsi="仿宋_GB2312" w:eastAsia="仿宋_GB2312" w:cs="仿宋_GB2312"/>
          <w:b w:val="0"/>
          <w:bCs w:val="0"/>
          <w:sz w:val="21"/>
          <w:szCs w:val="21"/>
        </w:rPr>
        <w:t>题型举例</w:t>
      </w:r>
    </w:p>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p>
    <w:p>
      <w:pPr>
        <w:pStyle w:val="14"/>
        <w:keepNext w:val="0"/>
        <w:keepLines w:val="0"/>
        <w:pageBreakBefore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Ⅰ  课程性质与课程目标</w:t>
      </w:r>
    </w:p>
    <w:p>
      <w:pPr>
        <w:pStyle w:val="15"/>
        <w:keepNext w:val="0"/>
        <w:keepLines w:val="0"/>
        <w:pageBreakBefore w:val="0"/>
        <w:widowControl w:val="0"/>
        <w:kinsoku/>
        <w:wordWrap/>
        <w:overflowPunct/>
        <w:topLinePunct w:val="0"/>
        <w:autoSpaceDE/>
        <w:autoSpaceDN/>
        <w:bidi w:val="0"/>
        <w:adjustRightInd/>
        <w:snapToGrid w:val="0"/>
        <w:spacing w:line="240" w:lineRule="auto"/>
        <w:ind w:right="0" w:rightChars="0" w:firstLine="562"/>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一、课程性质和特点</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jc w:val="left"/>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交通运输安全”是高等教育自学考试交通运输（专升本）专业考试计划中的一门重要专业基础课，主要为培养各类交通专业所需的高质量专门人才而开设的。学生通过学习该课程，应掌握交通安全基本概念、基本理论，学会运用交通系统安全分析和评价以及交通事故防治的理论和方法解决实际问题，具备综合分析和处理各类交通安全问题的基本能力。</w:t>
      </w:r>
    </w:p>
    <w:p>
      <w:pPr>
        <w:pStyle w:val="15"/>
        <w:keepNext w:val="0"/>
        <w:keepLines w:val="0"/>
        <w:pageBreakBefore w:val="0"/>
        <w:widowControl w:val="0"/>
        <w:kinsoku/>
        <w:wordWrap/>
        <w:overflowPunct/>
        <w:topLinePunct w:val="0"/>
        <w:autoSpaceDE/>
        <w:autoSpaceDN/>
        <w:bidi w:val="0"/>
        <w:adjustRightInd/>
        <w:snapToGrid w:val="0"/>
        <w:spacing w:line="240" w:lineRule="auto"/>
        <w:ind w:right="0" w:rightChars="0" w:firstLine="562"/>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二、课程目标</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课程以培养学生树立交通安全意识、掌握交通安全技能为根本目标，从交通运输安全管理的基本概念和基本原理出发，以人、机、环、管为主线，在介绍安全管理基本理论和分析交通运输系统安全影响因素的基础上，重点针对交通运输安全的分析、评价和管理等进行了探讨，涉及交通运输安全的理论、方法、技术和管理等多方面的内容。</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通过本课程的学习，考生应达到以下目标。</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1.掌握交通运输安全基本概念，了解安全系统工程的结构，领会各影响因素的作用过程。</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2.掌握交通运输安全的重要理论和方法，理解交通运输事故致因理论与预防理论，能够应用本质安全化方法进行安全管理。</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3.掌握交通运输安全系统的结构及内涵，能够运用加权平均法等方法确定安全等级以及计算概率风险。</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4.领会交通运输安全系统分析方法，能够判定事故多发点，运用事件树分析方法定性分析交通事故。</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5.掌握交通运输安全系统管理方法，了解管理流程及相关规定。</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6.综合运用相关理论与方法分析交通事故案例，提升系统安全性。</w:t>
      </w:r>
    </w:p>
    <w:p>
      <w:pPr>
        <w:pStyle w:val="15"/>
        <w:keepNext w:val="0"/>
        <w:keepLines w:val="0"/>
        <w:pageBreakBefore w:val="0"/>
        <w:widowControl w:val="0"/>
        <w:kinsoku/>
        <w:wordWrap/>
        <w:overflowPunct/>
        <w:topLinePunct w:val="0"/>
        <w:autoSpaceDE/>
        <w:autoSpaceDN/>
        <w:bidi w:val="0"/>
        <w:adjustRightInd/>
        <w:snapToGrid w:val="0"/>
        <w:spacing w:line="240" w:lineRule="auto"/>
        <w:ind w:right="0" w:rightChars="0" w:firstLine="562"/>
        <w:textAlignment w:val="auto"/>
        <w:rPr>
          <w:rFonts w:hint="eastAsia" w:ascii="仿宋_GB2312" w:hAnsi="仿宋_GB2312" w:eastAsia="仿宋_GB2312" w:cs="仿宋_GB2312"/>
          <w:b w:val="0"/>
          <w:bCs w:val="0"/>
          <w:sz w:val="21"/>
          <w:szCs w:val="21"/>
        </w:rPr>
      </w:pPr>
      <w:r>
        <w:rPr>
          <w:rStyle w:val="18"/>
          <w:rFonts w:hint="eastAsia" w:ascii="仿宋_GB2312" w:hAnsi="仿宋_GB2312" w:eastAsia="仿宋_GB2312" w:cs="仿宋_GB2312"/>
          <w:b w:val="0"/>
          <w:bCs w:val="0"/>
          <w:sz w:val="21"/>
          <w:szCs w:val="21"/>
        </w:rPr>
        <w:t>三、与相关课程的联系与区别</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交通运输安全与本专业其他课程密切相关，是其课程体系中的基础课程之一。该课程为学生后续课程的学习做准备，为进一步学习交通运输专业技能及知识打基础。</w:t>
      </w:r>
    </w:p>
    <w:p>
      <w:pPr>
        <w:pStyle w:val="15"/>
        <w:keepNext w:val="0"/>
        <w:keepLines w:val="0"/>
        <w:pageBreakBefore w:val="0"/>
        <w:widowControl w:val="0"/>
        <w:kinsoku/>
        <w:wordWrap/>
        <w:overflowPunct/>
        <w:topLinePunct w:val="0"/>
        <w:autoSpaceDE/>
        <w:autoSpaceDN/>
        <w:bidi w:val="0"/>
        <w:adjustRightInd/>
        <w:snapToGrid w:val="0"/>
        <w:spacing w:line="240" w:lineRule="auto"/>
        <w:ind w:right="0" w:rightChars="0" w:firstLine="562"/>
        <w:textAlignment w:val="auto"/>
        <w:rPr>
          <w:rFonts w:hint="eastAsia" w:ascii="仿宋_GB2312" w:hAnsi="仿宋_GB2312" w:eastAsia="仿宋_GB2312" w:cs="仿宋_GB2312"/>
          <w:b w:val="0"/>
          <w:bCs w:val="0"/>
          <w:sz w:val="21"/>
          <w:szCs w:val="21"/>
        </w:rPr>
      </w:pPr>
      <w:r>
        <w:rPr>
          <w:rStyle w:val="18"/>
          <w:rFonts w:hint="eastAsia" w:ascii="仿宋_GB2312" w:hAnsi="仿宋_GB2312" w:eastAsia="仿宋_GB2312" w:cs="仿宋_GB2312"/>
          <w:b w:val="0"/>
          <w:bCs w:val="0"/>
          <w:sz w:val="21"/>
          <w:szCs w:val="21"/>
        </w:rPr>
        <w:t>四、课程的重点和难点</w:t>
      </w:r>
    </w:p>
    <w:p>
      <w:pPr>
        <w:keepNext w:val="0"/>
        <w:keepLines w:val="0"/>
        <w:pageBreakBefore w:val="0"/>
        <w:widowControl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本课程的重点内容是第一章、第二章、第四章、第六章等章节，难点内容是第四章、第五章等章节，各章具体的重点和难点在大纲后面均有明确说明。</w:t>
      </w:r>
    </w:p>
    <w:p>
      <w:pPr>
        <w:keepNext w:val="0"/>
        <w:keepLines w:val="0"/>
        <w:pageBreakBefore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rPr>
      </w:pPr>
    </w:p>
    <w:p>
      <w:pPr>
        <w:pStyle w:val="14"/>
        <w:keepNext w:val="0"/>
        <w:keepLines w:val="0"/>
        <w:pageBreakBefore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Ⅱ  考核目标</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本大纲是“交通运输安全”课程的个人自学、社会助学和考试命题的依据，本课程的考试范围以本考试大纲所限定的内容为准。</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本大纲在考核目标中，按照识记、领会、简单应用和综合应用四个层次规定其应达到的能力层次要求。四个能力层次是递进关系，各能力层次的含义是：</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识记：要求考生能够识别和记忆“交通运输安全”课程中有关知识点的概念性内容（如教材中给出的基本定义、步骤方法、规则方针等），并能够根据考核的不同要求，做出正确的表述、选择和判断。</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领会：要求考生在识记的基础上，能够领悟各知识点的内涵和外延，熟悉各知识点之间的区别与联系，能够根据相关知识点的特性来解决不同的问题；并能够进行简单的分析。</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简单应用：要求考生运用交通运输安全的少量知识点，分析和解决一般的应用问题，例如，事故多发点分析、系统安全评价等。</w:t>
      </w:r>
    </w:p>
    <w:p>
      <w:pPr>
        <w:keepNext w:val="0"/>
        <w:keepLines w:val="0"/>
        <w:pageBreakBefore w:val="0"/>
        <w:kinsoku/>
        <w:wordWrap/>
        <w:overflowPunct/>
        <w:topLinePunct w:val="0"/>
        <w:autoSpaceDE/>
        <w:autoSpaceDN/>
        <w:bidi w:val="0"/>
        <w:adjustRightInd/>
        <w:snapToGrid w:val="0"/>
        <w:spacing w:line="240" w:lineRule="auto"/>
        <w:ind w:right="0" w:rightChars="0" w:firstLine="420" w:firstLineChars="200"/>
        <w:textAlignment w:val="auto"/>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综合应用：要求考生能够在简单应用的基础上，能运用跨章节的多个知识点，综合分析和解决复杂的交通运输安全问题，并提出相应的改进方案以提升安全性。</w:t>
      </w:r>
    </w:p>
    <w:p>
      <w:pPr>
        <w:keepNext w:val="0"/>
        <w:keepLines w:val="0"/>
        <w:pageBreakBefore w:val="0"/>
        <w:widowControl/>
        <w:kinsoku/>
        <w:wordWrap/>
        <w:overflowPunct/>
        <w:topLinePunct w:val="0"/>
        <w:autoSpaceDE/>
        <w:autoSpaceDN/>
        <w:bidi w:val="0"/>
        <w:adjustRightInd/>
        <w:snapToGrid w:val="0"/>
        <w:spacing w:line="240" w:lineRule="auto"/>
        <w:ind w:right="0" w:rightChars="0"/>
        <w:jc w:val="center"/>
        <w:textAlignment w:val="auto"/>
        <w:rPr>
          <w:rFonts w:hint="eastAsia" w:ascii="仿宋_GB2312" w:hAnsi="仿宋_GB2312" w:eastAsia="仿宋_GB2312" w:cs="仿宋_GB2312"/>
          <w:b w:val="0"/>
          <w:bCs w:val="0"/>
          <w:sz w:val="21"/>
          <w:szCs w:val="21"/>
        </w:rPr>
      </w:pPr>
    </w:p>
    <w:p>
      <w:pPr>
        <w:keepNext w:val="0"/>
        <w:keepLines w:val="0"/>
        <w:pageBreakBefore w:val="0"/>
        <w:widowControl/>
        <w:kinsoku/>
        <w:wordWrap/>
        <w:overflowPunct/>
        <w:topLinePunct w:val="0"/>
        <w:autoSpaceDE/>
        <w:autoSpaceDN/>
        <w:bidi w:val="0"/>
        <w:adjustRightInd/>
        <w:snapToGrid w:val="0"/>
        <w:spacing w:line="240" w:lineRule="auto"/>
        <w:ind w:right="0" w:rightChars="0"/>
        <w:jc w:val="center"/>
        <w:textAlignment w:val="auto"/>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Ⅲ  课程内容与考核要求</w:t>
      </w:r>
    </w:p>
    <w:p>
      <w:pPr>
        <w:pStyle w:val="19"/>
        <w:keepNext w:val="0"/>
        <w:keepLines w:val="0"/>
        <w:pageBreakBefore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安全管理概述</w:t>
      </w:r>
    </w:p>
    <w:p>
      <w:pPr>
        <w:pStyle w:val="15"/>
        <w:keepNext w:val="0"/>
        <w:keepLines w:val="0"/>
        <w:pageBreakBefore w:val="0"/>
        <w:kinsoku/>
        <w:wordWrap/>
        <w:overflowPunct/>
        <w:topLinePunct w:val="0"/>
        <w:autoSpaceDE/>
        <w:autoSpaceDN/>
        <w:bidi w:val="0"/>
        <w:snapToGrid w:val="0"/>
        <w:spacing w:line="240" w:lineRule="auto"/>
        <w:ind w:right="0" w:rightChars="0" w:firstLine="562"/>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本章简要介绍安全管理在交通运输中的应用，需要了解安全管理的重要性及其基本概念、安全系统工程和安全管理基本制度。</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本章要求掌握安全管理相关的基本概念和方针制度，初步理解交通运输安全系统工程的内容。</w:t>
      </w:r>
    </w:p>
    <w:p>
      <w:pPr>
        <w:pStyle w:val="15"/>
        <w:keepNext w:val="0"/>
        <w:keepLines w:val="0"/>
        <w:pageBreakBefore w:val="0"/>
        <w:kinsoku/>
        <w:wordWrap/>
        <w:overflowPunct/>
        <w:topLinePunct w:val="0"/>
        <w:autoSpaceDE/>
        <w:autoSpaceDN/>
        <w:bidi w:val="0"/>
        <w:snapToGrid w:val="0"/>
        <w:spacing w:line="240" w:lineRule="auto"/>
        <w:ind w:right="0" w:rightChars="0" w:firstLine="562"/>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1.1 安全管理重要性</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 基本概念</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1.3 安全系统工程</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1.4 </w:t>
      </w:r>
      <w:bookmarkStart w:id="0" w:name="_Hlk130376585"/>
      <w:r>
        <w:rPr>
          <w:rFonts w:hint="eastAsia" w:ascii="仿宋_GB2312" w:hAnsi="仿宋_GB2312" w:eastAsia="仿宋_GB2312" w:cs="仿宋_GB2312"/>
          <w:b w:val="0"/>
          <w:bCs w:val="0"/>
          <w:sz w:val="21"/>
          <w:szCs w:val="21"/>
        </w:rPr>
        <w:t>安全管理基本制度</w:t>
      </w:r>
      <w:bookmarkEnd w:id="0"/>
    </w:p>
    <w:p>
      <w:pPr>
        <w:pStyle w:val="15"/>
        <w:keepNext w:val="0"/>
        <w:keepLines w:val="0"/>
        <w:pageBreakBefore w:val="0"/>
        <w:kinsoku/>
        <w:wordWrap/>
        <w:overflowPunct/>
        <w:topLinePunct w:val="0"/>
        <w:autoSpaceDE/>
        <w:autoSpaceDN/>
        <w:bidi w:val="0"/>
        <w:snapToGrid w:val="0"/>
        <w:spacing w:line="240" w:lineRule="auto"/>
        <w:ind w:right="0" w:rightChars="0" w:firstLine="562"/>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pStyle w:val="20"/>
        <w:keepNext w:val="0"/>
        <w:keepLines w:val="0"/>
        <w:pageBreakBefore w:val="0"/>
        <w:kinsoku/>
        <w:wordWrap/>
        <w:overflowPunct/>
        <w:topLinePunct w:val="0"/>
        <w:autoSpaceDE/>
        <w:autoSpaceDN/>
        <w:bidi w:val="0"/>
        <w:snapToGrid w:val="0"/>
        <w:spacing w:line="240" w:lineRule="auto"/>
        <w:ind w:right="0" w:rightChars="0" w:firstLine="482"/>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 安全管理重要性</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识记：交通运输安全的表现及重心；安全管理的重要性。</w:t>
      </w:r>
    </w:p>
    <w:p>
      <w:pPr>
        <w:pStyle w:val="20"/>
        <w:keepNext w:val="0"/>
        <w:keepLines w:val="0"/>
        <w:pageBreakBefore w:val="0"/>
        <w:kinsoku/>
        <w:wordWrap/>
        <w:overflowPunct/>
        <w:topLinePunct w:val="0"/>
        <w:autoSpaceDE/>
        <w:autoSpaceDN/>
        <w:bidi w:val="0"/>
        <w:snapToGrid w:val="0"/>
        <w:spacing w:line="240" w:lineRule="auto"/>
        <w:ind w:right="0" w:rightChars="0" w:firstLine="482"/>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 基本概念</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识记：相对安全观的概念和推论；安全、事故、危险等专业性词汇的定义。</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领会：基本概念之间的关系（安全与危险、安全与事故）；安全问题的普遍性。</w:t>
      </w:r>
    </w:p>
    <w:p>
      <w:pPr>
        <w:pStyle w:val="20"/>
        <w:keepNext w:val="0"/>
        <w:keepLines w:val="0"/>
        <w:pageBreakBefore w:val="0"/>
        <w:kinsoku/>
        <w:wordWrap/>
        <w:overflowPunct/>
        <w:topLinePunct w:val="0"/>
        <w:autoSpaceDE/>
        <w:autoSpaceDN/>
        <w:bidi w:val="0"/>
        <w:snapToGrid w:val="0"/>
        <w:spacing w:line="240" w:lineRule="auto"/>
        <w:ind w:right="0" w:rightChars="0" w:firstLine="482"/>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 安全系统工程</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识记：系统的概念；系统的组成要素；系统工程的定义。</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领会：系统工程的核心思想及特点；安全系统工程的定义。</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简单应用：分析安全系统工程的主体内容。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综合应用：人-机-环系统工程的研究方法。</w:t>
      </w:r>
    </w:p>
    <w:p>
      <w:pPr>
        <w:pStyle w:val="20"/>
        <w:keepNext w:val="0"/>
        <w:keepLines w:val="0"/>
        <w:pageBreakBefore w:val="0"/>
        <w:kinsoku/>
        <w:wordWrap/>
        <w:overflowPunct/>
        <w:topLinePunct w:val="0"/>
        <w:autoSpaceDE/>
        <w:autoSpaceDN/>
        <w:bidi w:val="0"/>
        <w:snapToGrid w:val="0"/>
        <w:spacing w:line="240" w:lineRule="auto"/>
        <w:ind w:right="0" w:rightChars="0" w:firstLine="482"/>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 安全管理基本制度</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识记：安全管理的基本方针。</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领会：国家运输安全管理体制；企业安全管理制度。</w:t>
      </w:r>
    </w:p>
    <w:p>
      <w:pPr>
        <w:pStyle w:val="15"/>
        <w:keepNext w:val="0"/>
        <w:keepLines w:val="0"/>
        <w:pageBreakBefore w:val="0"/>
        <w:kinsoku/>
        <w:wordWrap/>
        <w:overflowPunct/>
        <w:topLinePunct w:val="0"/>
        <w:autoSpaceDE/>
        <w:autoSpaceDN/>
        <w:bidi w:val="0"/>
        <w:snapToGrid w:val="0"/>
        <w:spacing w:line="240" w:lineRule="auto"/>
        <w:ind w:right="0" w:rightChars="0" w:firstLine="562"/>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本章的重点：相对安全观的内涵；安全、隐患等基本概念；交通运输安全系统工程的分析、评价与管理；安全管理基本制度。</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本章的难点：人-机-环系统工程的研究方法。</w:t>
      </w:r>
    </w:p>
    <w:p>
      <w:pPr>
        <w:keepNext w:val="0"/>
        <w:keepLines w:val="0"/>
        <w:pageBreakBefore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rPr>
      </w:pPr>
    </w:p>
    <w:p>
      <w:pPr>
        <w:pStyle w:val="19"/>
        <w:keepNext w:val="0"/>
        <w:keepLines w:val="0"/>
        <w:pageBreakBefore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交通运输安全影响因素分析</w:t>
      </w:r>
    </w:p>
    <w:p>
      <w:pPr>
        <w:pStyle w:val="15"/>
        <w:keepNext w:val="0"/>
        <w:keepLines w:val="0"/>
        <w:pageBreakBefore w:val="0"/>
        <w:kinsoku/>
        <w:wordWrap/>
        <w:overflowPunct/>
        <w:topLinePunct w:val="0"/>
        <w:autoSpaceDE/>
        <w:autoSpaceDN/>
        <w:bidi w:val="0"/>
        <w:snapToGrid w:val="0"/>
        <w:spacing w:line="240" w:lineRule="auto"/>
        <w:ind w:right="0" w:rightChars="0" w:firstLine="562"/>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本章简要分析交通运输安全的影响因素，需要从人员、设备、环境和管理四个方面了解其作用规律，并结合高速铁路和高速公路这两类交通运输系统，作出具体分析。</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本章要求掌握影响交通运输安全的基本因素及其特点，熟悉各影响因素的作用过程。</w:t>
      </w:r>
    </w:p>
    <w:p>
      <w:pPr>
        <w:pStyle w:val="15"/>
        <w:keepNext w:val="0"/>
        <w:keepLines w:val="0"/>
        <w:pageBreakBefore w:val="0"/>
        <w:kinsoku/>
        <w:wordWrap/>
        <w:overflowPunct/>
        <w:topLinePunct w:val="0"/>
        <w:autoSpaceDE/>
        <w:autoSpaceDN/>
        <w:bidi w:val="0"/>
        <w:snapToGrid w:val="0"/>
        <w:spacing w:line="240" w:lineRule="auto"/>
        <w:ind w:right="0" w:rightChars="0" w:firstLine="562"/>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2.1 概述</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2.2 人员影响因素分析</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2.3 设备影响因素分析</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2.4 环境影响因素分析</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2.5 管理影响因素分析</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2.6 高速铁路安全影响因素分析</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2.7 高速公路安全影响因素分析</w:t>
      </w:r>
    </w:p>
    <w:p>
      <w:pPr>
        <w:pStyle w:val="15"/>
        <w:keepNext w:val="0"/>
        <w:keepLines w:val="0"/>
        <w:pageBreakBefore w:val="0"/>
        <w:kinsoku/>
        <w:wordWrap/>
        <w:overflowPunct/>
        <w:topLinePunct w:val="0"/>
        <w:autoSpaceDE/>
        <w:autoSpaceDN/>
        <w:bidi w:val="0"/>
        <w:snapToGrid w:val="0"/>
        <w:spacing w:line="240" w:lineRule="auto"/>
        <w:ind w:right="0" w:rightChars="0" w:firstLine="630" w:firstLineChars="3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pStyle w:val="20"/>
        <w:keepNext w:val="0"/>
        <w:keepLines w:val="0"/>
        <w:pageBreakBefore w:val="0"/>
        <w:kinsoku/>
        <w:wordWrap/>
        <w:overflowPunct/>
        <w:topLinePunct w:val="0"/>
        <w:autoSpaceDE/>
        <w:autoSpaceDN/>
        <w:bidi w:val="0"/>
        <w:snapToGrid w:val="0"/>
        <w:spacing w:line="240" w:lineRule="auto"/>
        <w:ind w:right="0" w:rightChars="0" w:firstLine="482"/>
        <w:rPr>
          <w:rFonts w:hint="eastAsia" w:ascii="仿宋_GB2312" w:hAnsi="仿宋_GB2312" w:eastAsia="仿宋_GB2312" w:cs="仿宋_GB2312"/>
          <w:b w:val="0"/>
          <w:bCs w:val="0"/>
          <w:color w:val="FF0000"/>
          <w:sz w:val="21"/>
          <w:szCs w:val="21"/>
        </w:rPr>
      </w:pPr>
      <w:r>
        <w:rPr>
          <w:rFonts w:hint="eastAsia" w:ascii="仿宋_GB2312" w:hAnsi="仿宋_GB2312" w:eastAsia="仿宋_GB2312" w:cs="仿宋_GB2312"/>
          <w:b w:val="0"/>
          <w:bCs w:val="0"/>
          <w:sz w:val="21"/>
          <w:szCs w:val="21"/>
        </w:rPr>
        <w:t>（一） 概述</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识记：交通运输系统安全影响因素；人-机-环-管系统工程的特点。</w:t>
      </w:r>
    </w:p>
    <w:p>
      <w:pPr>
        <w:pStyle w:val="20"/>
        <w:keepNext w:val="0"/>
        <w:keepLines w:val="0"/>
        <w:pageBreakBefore w:val="0"/>
        <w:kinsoku/>
        <w:wordWrap/>
        <w:overflowPunct/>
        <w:topLinePunct w:val="0"/>
        <w:autoSpaceDE/>
        <w:autoSpaceDN/>
        <w:bidi w:val="0"/>
        <w:snapToGrid w:val="0"/>
        <w:spacing w:line="240" w:lineRule="auto"/>
        <w:ind w:right="0" w:rightChars="0" w:firstLine="482"/>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 人员影响因素分析</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识记：人对交通安全的特殊作用；提高人可靠性的措施。</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领会：人的可靠性对安全的影响；心理影响因素与交通运输安全；驾驶员的不安全行为分类。</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简单应用：疲劳驾驶的产生和预防。</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综合应用：从心理影响因素强化安全管理。</w:t>
      </w:r>
    </w:p>
    <w:p>
      <w:pPr>
        <w:pStyle w:val="20"/>
        <w:keepNext w:val="0"/>
        <w:keepLines w:val="0"/>
        <w:pageBreakBefore w:val="0"/>
        <w:kinsoku/>
        <w:wordWrap/>
        <w:overflowPunct/>
        <w:topLinePunct w:val="0"/>
        <w:autoSpaceDE/>
        <w:autoSpaceDN/>
        <w:bidi w:val="0"/>
        <w:snapToGrid w:val="0"/>
        <w:spacing w:line="240" w:lineRule="auto"/>
        <w:ind w:right="0" w:rightChars="0" w:firstLine="482"/>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 设备影响因素分析</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识记：与交通运输有关的设备类型；交通运输设备特征。</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领会：车辆主动安全性与被动安全性。</w:t>
      </w:r>
    </w:p>
    <w:p>
      <w:pPr>
        <w:pStyle w:val="20"/>
        <w:keepNext w:val="0"/>
        <w:keepLines w:val="0"/>
        <w:pageBreakBefore w:val="0"/>
        <w:kinsoku/>
        <w:wordWrap/>
        <w:overflowPunct/>
        <w:topLinePunct w:val="0"/>
        <w:autoSpaceDE/>
        <w:autoSpaceDN/>
        <w:bidi w:val="0"/>
        <w:snapToGrid w:val="0"/>
        <w:spacing w:line="240" w:lineRule="auto"/>
        <w:ind w:right="0" w:rightChars="0" w:firstLine="482"/>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 环境影响因素分析</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识记：系统内部小环境的组成要素；系统外部大环境的影响。</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领会：交通运输系统内外环境间的联系。</w:t>
      </w:r>
    </w:p>
    <w:p>
      <w:pPr>
        <w:pStyle w:val="20"/>
        <w:keepNext w:val="0"/>
        <w:keepLines w:val="0"/>
        <w:pageBreakBefore w:val="0"/>
        <w:kinsoku/>
        <w:wordWrap/>
        <w:overflowPunct/>
        <w:topLinePunct w:val="0"/>
        <w:autoSpaceDE/>
        <w:autoSpaceDN/>
        <w:bidi w:val="0"/>
        <w:snapToGrid w:val="0"/>
        <w:spacing w:line="240" w:lineRule="auto"/>
        <w:ind w:right="0" w:rightChars="0" w:firstLine="482"/>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（五） 管理影响因素分析</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识记：交通运输安全管理的定义及含义；管理对交通运输安全的重要性。</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领会：管理中科学性与艺术性的统一。</w:t>
      </w:r>
    </w:p>
    <w:p>
      <w:pPr>
        <w:pStyle w:val="20"/>
        <w:keepNext w:val="0"/>
        <w:keepLines w:val="0"/>
        <w:pageBreakBefore w:val="0"/>
        <w:kinsoku/>
        <w:wordWrap/>
        <w:overflowPunct/>
        <w:topLinePunct w:val="0"/>
        <w:autoSpaceDE/>
        <w:autoSpaceDN/>
        <w:bidi w:val="0"/>
        <w:snapToGrid w:val="0"/>
        <w:spacing w:line="240" w:lineRule="auto"/>
        <w:ind w:right="0" w:rightChars="0" w:firstLine="482"/>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（六） 高速铁路安全影响因素分析</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识记：人与高速铁路设备间的关系；设备安全要素；环境安全要素。</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领会：高速铁路安全管理内容。</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简单应用：增强高速铁路运营安全性的方法。</w:t>
      </w:r>
    </w:p>
    <w:p>
      <w:pPr>
        <w:pStyle w:val="20"/>
        <w:keepNext w:val="0"/>
        <w:keepLines w:val="0"/>
        <w:pageBreakBefore w:val="0"/>
        <w:kinsoku/>
        <w:wordWrap/>
        <w:overflowPunct/>
        <w:topLinePunct w:val="0"/>
        <w:autoSpaceDE/>
        <w:autoSpaceDN/>
        <w:bidi w:val="0"/>
        <w:snapToGrid w:val="0"/>
        <w:spacing w:line="240" w:lineRule="auto"/>
        <w:ind w:right="0" w:rightChars="0" w:firstLine="482"/>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（七） 高速公路安全影响因素分析</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识记：高速公路交通事故特点；高速公路行车安全影响因素。</w:t>
      </w:r>
    </w:p>
    <w:p>
      <w:pPr>
        <w:pStyle w:val="15"/>
        <w:keepNext w:val="0"/>
        <w:keepLines w:val="0"/>
        <w:pageBreakBefore w:val="0"/>
        <w:kinsoku/>
        <w:wordWrap/>
        <w:overflowPunct/>
        <w:topLinePunct w:val="0"/>
        <w:autoSpaceDE/>
        <w:autoSpaceDN/>
        <w:bidi w:val="0"/>
        <w:snapToGrid w:val="0"/>
        <w:spacing w:line="240" w:lineRule="auto"/>
        <w:ind w:right="0" w:rightChars="0" w:firstLine="562"/>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本章的重点：交通运输系统安全影响因素；人对交通安全的特殊作用；车辆主动安全性与被动安全性；交通运输安全管理的定义及含义。</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本章的难点：心理因素对安全的影响；提升交通运输系统安全性。</w:t>
      </w:r>
    </w:p>
    <w:p>
      <w:pPr>
        <w:keepNext w:val="0"/>
        <w:keepLines w:val="0"/>
        <w:pageBreakBefore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rPr>
      </w:pPr>
    </w:p>
    <w:p>
      <w:pPr>
        <w:pStyle w:val="19"/>
        <w:keepNext w:val="0"/>
        <w:keepLines w:val="0"/>
        <w:pageBreakBefore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rPr>
      </w:pPr>
      <w:bookmarkStart w:id="1" w:name="_Hlk130719501"/>
      <w:r>
        <w:rPr>
          <w:rFonts w:hint="eastAsia" w:ascii="仿宋_GB2312" w:hAnsi="仿宋_GB2312" w:eastAsia="仿宋_GB2312" w:cs="仿宋_GB2312"/>
          <w:b w:val="0"/>
          <w:bCs w:val="0"/>
          <w:sz w:val="21"/>
          <w:szCs w:val="21"/>
        </w:rPr>
        <w:t>交通运输安全理论与方法</w:t>
      </w:r>
    </w:p>
    <w:bookmarkEnd w:id="1"/>
    <w:p>
      <w:pPr>
        <w:pStyle w:val="15"/>
        <w:keepNext w:val="0"/>
        <w:keepLines w:val="0"/>
        <w:pageBreakBefore w:val="0"/>
        <w:kinsoku/>
        <w:wordWrap/>
        <w:overflowPunct/>
        <w:topLinePunct w:val="0"/>
        <w:autoSpaceDE/>
        <w:autoSpaceDN/>
        <w:bidi w:val="0"/>
        <w:snapToGrid w:val="0"/>
        <w:spacing w:line="240" w:lineRule="auto"/>
        <w:ind w:right="0" w:rightChars="0" w:firstLine="562"/>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本章简要介绍了交通运输安全相关的理论与方法，从安全管理基本理论、交通运输事故致因理论、交通运输事故预防理论三个方面，根据发展历程进行理论分析，并提出相应的实践措施。</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本章要求掌握交通运输安全相关的重要原则及理论，熟悉对应的安全管理方法。</w:t>
      </w:r>
    </w:p>
    <w:p>
      <w:pPr>
        <w:pStyle w:val="15"/>
        <w:keepNext w:val="0"/>
        <w:keepLines w:val="0"/>
        <w:pageBreakBefore w:val="0"/>
        <w:kinsoku/>
        <w:wordWrap/>
        <w:overflowPunct/>
        <w:topLinePunct w:val="0"/>
        <w:autoSpaceDE/>
        <w:autoSpaceDN/>
        <w:bidi w:val="0"/>
        <w:snapToGrid w:val="0"/>
        <w:spacing w:line="240" w:lineRule="auto"/>
        <w:ind w:right="0" w:rightChars="0" w:firstLine="562"/>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3.1 安全管理基本理论</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3.2 交通运输事故致因理论</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3.3 交通运输事故预防理论</w:t>
      </w:r>
    </w:p>
    <w:p>
      <w:pPr>
        <w:pStyle w:val="15"/>
        <w:keepNext w:val="0"/>
        <w:keepLines w:val="0"/>
        <w:pageBreakBefore w:val="0"/>
        <w:kinsoku/>
        <w:wordWrap/>
        <w:overflowPunct/>
        <w:topLinePunct w:val="0"/>
        <w:autoSpaceDE/>
        <w:autoSpaceDN/>
        <w:bidi w:val="0"/>
        <w:snapToGrid w:val="0"/>
        <w:spacing w:line="240" w:lineRule="auto"/>
        <w:ind w:right="0" w:rightChars="0" w:firstLine="562"/>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pStyle w:val="20"/>
        <w:keepNext w:val="0"/>
        <w:keepLines w:val="0"/>
        <w:pageBreakBefore w:val="0"/>
        <w:kinsoku/>
        <w:wordWrap/>
        <w:overflowPunct/>
        <w:topLinePunct w:val="0"/>
        <w:autoSpaceDE/>
        <w:autoSpaceDN/>
        <w:bidi w:val="0"/>
        <w:snapToGrid w:val="0"/>
        <w:spacing w:line="240" w:lineRule="auto"/>
        <w:ind w:right="0" w:rightChars="0" w:firstLine="482"/>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 安全管理基本理论</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识记：安全管理的主要内容；安全管理原理、原则；人本理论的含义。</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领会：系统理论基本原则；强制理论基本原则。</w:t>
      </w:r>
    </w:p>
    <w:p>
      <w:pPr>
        <w:pStyle w:val="20"/>
        <w:keepNext w:val="0"/>
        <w:keepLines w:val="0"/>
        <w:pageBreakBefore w:val="0"/>
        <w:kinsoku/>
        <w:wordWrap/>
        <w:overflowPunct/>
        <w:topLinePunct w:val="0"/>
        <w:autoSpaceDE/>
        <w:autoSpaceDN/>
        <w:bidi w:val="0"/>
        <w:snapToGrid w:val="0"/>
        <w:spacing w:line="240" w:lineRule="auto"/>
        <w:ind w:right="0" w:rightChars="0" w:firstLine="482"/>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 交通运输事故致因理论</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识记：事故频发倾向定义；系统安全理论内容。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领会：系统理论的指导意义，海因里希法则的事故预防原理。</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简单应用：阐述轨迹交叉理论。</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综合应用：系统安全理论的创新概念和研究内容。</w:t>
      </w:r>
    </w:p>
    <w:p>
      <w:pPr>
        <w:pStyle w:val="20"/>
        <w:keepNext w:val="0"/>
        <w:keepLines w:val="0"/>
        <w:pageBreakBefore w:val="0"/>
        <w:kinsoku/>
        <w:wordWrap/>
        <w:overflowPunct/>
        <w:topLinePunct w:val="0"/>
        <w:autoSpaceDE/>
        <w:autoSpaceDN/>
        <w:bidi w:val="0"/>
        <w:snapToGrid w:val="0"/>
        <w:spacing w:line="240" w:lineRule="auto"/>
        <w:ind w:right="0" w:rightChars="0" w:firstLine="482"/>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 交通运输事故预防理论</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识记：事故预防的目标与原则。</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领会：事故预防的3E原则。</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简单应用：事故预防五阶段模型。</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综合应用：本质安全化方法的具体措施。</w:t>
      </w:r>
    </w:p>
    <w:p>
      <w:pPr>
        <w:pStyle w:val="15"/>
        <w:keepNext w:val="0"/>
        <w:keepLines w:val="0"/>
        <w:pageBreakBefore w:val="0"/>
        <w:kinsoku/>
        <w:wordWrap/>
        <w:overflowPunct/>
        <w:topLinePunct w:val="0"/>
        <w:autoSpaceDE/>
        <w:autoSpaceDN/>
        <w:bidi w:val="0"/>
        <w:snapToGrid w:val="0"/>
        <w:spacing w:line="240" w:lineRule="auto"/>
        <w:ind w:right="0" w:rightChars="0" w:firstLine="562"/>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本章的重点：安全管理原理、原则；系统理论基本原则；系统安全理论内容；事故预防的目标与原则。</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本章的难点：事故频发理论；轨迹交叉理论；事故预防五阶段模型。</w:t>
      </w:r>
    </w:p>
    <w:p>
      <w:pPr>
        <w:keepNext w:val="0"/>
        <w:keepLines w:val="0"/>
        <w:pageBreakBefore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rPr>
      </w:pPr>
    </w:p>
    <w:p>
      <w:pPr>
        <w:pStyle w:val="19"/>
        <w:keepNext w:val="0"/>
        <w:keepLines w:val="0"/>
        <w:pageBreakBefore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rPr>
      </w:pPr>
      <w:bookmarkStart w:id="2" w:name="_Hlk130731902"/>
      <w:r>
        <w:rPr>
          <w:rFonts w:hint="eastAsia" w:ascii="仿宋_GB2312" w:hAnsi="仿宋_GB2312" w:eastAsia="仿宋_GB2312" w:cs="仿宋_GB2312"/>
          <w:b w:val="0"/>
          <w:bCs w:val="0"/>
          <w:sz w:val="21"/>
          <w:szCs w:val="21"/>
        </w:rPr>
        <w:t>交通运输安全系统分析</w:t>
      </w:r>
    </w:p>
    <w:bookmarkEnd w:id="2"/>
    <w:p>
      <w:pPr>
        <w:pStyle w:val="15"/>
        <w:keepNext w:val="0"/>
        <w:keepLines w:val="0"/>
        <w:pageBreakBefore w:val="0"/>
        <w:kinsoku/>
        <w:wordWrap/>
        <w:overflowPunct/>
        <w:topLinePunct w:val="0"/>
        <w:autoSpaceDE/>
        <w:autoSpaceDN/>
        <w:bidi w:val="0"/>
        <w:snapToGrid w:val="0"/>
        <w:spacing w:line="240" w:lineRule="auto"/>
        <w:ind w:right="0" w:rightChars="0" w:firstLine="562"/>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本章从事故的预测和预防角度出发，研究交通运输安全分析方法，包括统计图表分析法、因果分析图法、安全检查表分析法、事故多发点辨识、事故树分析法等。</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本章要求掌握交通运输安全系统分析的常见方法，熟悉事故多发点分析和事件树分析的原理和步骤。</w:t>
      </w:r>
    </w:p>
    <w:p>
      <w:pPr>
        <w:pStyle w:val="15"/>
        <w:keepNext w:val="0"/>
        <w:keepLines w:val="0"/>
        <w:pageBreakBefore w:val="0"/>
        <w:kinsoku/>
        <w:wordWrap/>
        <w:overflowPunct/>
        <w:topLinePunct w:val="0"/>
        <w:autoSpaceDE/>
        <w:autoSpaceDN/>
        <w:bidi w:val="0"/>
        <w:snapToGrid w:val="0"/>
        <w:spacing w:line="240" w:lineRule="auto"/>
        <w:ind w:right="0" w:rightChars="0" w:firstLine="562"/>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4.1 概述</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4.2 常用交通运输系统分析法</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4.3 预先危险性分析</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4.4 事故多发点分析</w:t>
      </w:r>
    </w:p>
    <w:p>
      <w:pPr>
        <w:pStyle w:val="15"/>
        <w:keepNext w:val="0"/>
        <w:keepLines w:val="0"/>
        <w:pageBreakBefore w:val="0"/>
        <w:kinsoku/>
        <w:wordWrap/>
        <w:overflowPunct/>
        <w:topLinePunct w:val="0"/>
        <w:autoSpaceDE/>
        <w:autoSpaceDN/>
        <w:bidi w:val="0"/>
        <w:snapToGrid w:val="0"/>
        <w:spacing w:line="240" w:lineRule="auto"/>
        <w:ind w:right="0" w:rightChars="0" w:firstLine="562"/>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pStyle w:val="20"/>
        <w:keepNext w:val="0"/>
        <w:keepLines w:val="0"/>
        <w:pageBreakBefore w:val="0"/>
        <w:kinsoku/>
        <w:wordWrap/>
        <w:overflowPunct/>
        <w:topLinePunct w:val="0"/>
        <w:autoSpaceDE/>
        <w:autoSpaceDN/>
        <w:bidi w:val="0"/>
        <w:snapToGrid w:val="0"/>
        <w:spacing w:line="240" w:lineRule="auto"/>
        <w:ind w:right="0" w:rightChars="0" w:firstLine="482"/>
        <w:rPr>
          <w:rFonts w:hint="eastAsia" w:ascii="仿宋_GB2312" w:hAnsi="仿宋_GB2312" w:eastAsia="仿宋_GB2312" w:cs="仿宋_GB2312"/>
          <w:b w:val="0"/>
          <w:bCs w:val="0"/>
          <w:color w:val="FF0000"/>
          <w:sz w:val="21"/>
          <w:szCs w:val="21"/>
        </w:rPr>
      </w:pPr>
      <w:r>
        <w:rPr>
          <w:rFonts w:hint="eastAsia" w:ascii="仿宋_GB2312" w:hAnsi="仿宋_GB2312" w:eastAsia="仿宋_GB2312" w:cs="仿宋_GB2312"/>
          <w:b w:val="0"/>
          <w:bCs w:val="0"/>
          <w:sz w:val="21"/>
          <w:szCs w:val="21"/>
        </w:rPr>
        <w:t>（一） 概述</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识记：交通运输安全系统分析的定义；交通运输安全系统分析内容。</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领会：安全问题的主要分析方法。</w:t>
      </w:r>
    </w:p>
    <w:p>
      <w:pPr>
        <w:pStyle w:val="20"/>
        <w:keepNext w:val="0"/>
        <w:keepLines w:val="0"/>
        <w:pageBreakBefore w:val="0"/>
        <w:kinsoku/>
        <w:wordWrap/>
        <w:overflowPunct/>
        <w:topLinePunct w:val="0"/>
        <w:autoSpaceDE/>
        <w:autoSpaceDN/>
        <w:bidi w:val="0"/>
        <w:snapToGrid w:val="0"/>
        <w:spacing w:line="240" w:lineRule="auto"/>
        <w:ind w:right="0" w:rightChars="0" w:firstLine="482"/>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 常用交通运输系统分析方法</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识记：各类统计图表的特点；安全检查表的定义。</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领会：安全检查表的内容及分类。</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简单应用：安全检查表的注意事项。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综合应用：安全检查表的编制步骤。</w:t>
      </w:r>
    </w:p>
    <w:p>
      <w:pPr>
        <w:pStyle w:val="20"/>
        <w:keepNext w:val="0"/>
        <w:keepLines w:val="0"/>
        <w:pageBreakBefore w:val="0"/>
        <w:kinsoku/>
        <w:wordWrap/>
        <w:overflowPunct/>
        <w:topLinePunct w:val="0"/>
        <w:autoSpaceDE/>
        <w:autoSpaceDN/>
        <w:bidi w:val="0"/>
        <w:snapToGrid w:val="0"/>
        <w:spacing w:line="240" w:lineRule="auto"/>
        <w:ind w:right="0" w:rightChars="0" w:firstLine="482"/>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 预先危险性分析</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识记：预先危险性分析用途。</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领会：预先危险性分析的内容；预先危险性分析的优点。</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简单应用：预先危险性分析步骤。</w:t>
      </w:r>
    </w:p>
    <w:p>
      <w:pPr>
        <w:pStyle w:val="20"/>
        <w:keepNext w:val="0"/>
        <w:keepLines w:val="0"/>
        <w:pageBreakBefore w:val="0"/>
        <w:kinsoku/>
        <w:wordWrap/>
        <w:overflowPunct/>
        <w:topLinePunct w:val="0"/>
        <w:autoSpaceDE/>
        <w:autoSpaceDN/>
        <w:bidi w:val="0"/>
        <w:snapToGrid w:val="0"/>
        <w:spacing w:line="240" w:lineRule="auto"/>
        <w:ind w:right="0" w:rightChars="0" w:firstLine="482"/>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 事故多发点分析</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识记：事故多发点内涵。</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领会：事故多发点鉴别的作用。</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简单应用：判定事故多发点。</w:t>
      </w:r>
    </w:p>
    <w:p>
      <w:pPr>
        <w:pStyle w:val="15"/>
        <w:keepNext w:val="0"/>
        <w:keepLines w:val="0"/>
        <w:pageBreakBefore w:val="0"/>
        <w:kinsoku/>
        <w:wordWrap/>
        <w:overflowPunct/>
        <w:topLinePunct w:val="0"/>
        <w:autoSpaceDE/>
        <w:autoSpaceDN/>
        <w:bidi w:val="0"/>
        <w:snapToGrid w:val="0"/>
        <w:spacing w:line="240" w:lineRule="auto"/>
        <w:ind w:right="0" w:rightChars="0" w:firstLine="562"/>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本章的重点：交通运输安全系统分析内涵；各类统计图表的特点；预先危险性分析；事故多发点内涵。</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本章的难点：安全检查表的编制；判定事故多发点。</w:t>
      </w:r>
    </w:p>
    <w:p>
      <w:pPr>
        <w:keepNext w:val="0"/>
        <w:keepLines w:val="0"/>
        <w:pageBreakBefore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rPr>
      </w:pPr>
    </w:p>
    <w:p>
      <w:pPr>
        <w:pStyle w:val="19"/>
        <w:keepNext w:val="0"/>
        <w:keepLines w:val="0"/>
        <w:pageBreakBefore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rPr>
      </w:pPr>
      <w:bookmarkStart w:id="3" w:name="_Hlk130757350"/>
      <w:r>
        <w:rPr>
          <w:rFonts w:hint="eastAsia" w:ascii="仿宋_GB2312" w:hAnsi="仿宋_GB2312" w:eastAsia="仿宋_GB2312" w:cs="仿宋_GB2312"/>
          <w:b w:val="0"/>
          <w:bCs w:val="0"/>
          <w:sz w:val="21"/>
          <w:szCs w:val="21"/>
        </w:rPr>
        <w:t>交通运输安全系统评价</w:t>
      </w:r>
    </w:p>
    <w:bookmarkEnd w:id="3"/>
    <w:p>
      <w:pPr>
        <w:pStyle w:val="15"/>
        <w:keepNext w:val="0"/>
        <w:keepLines w:val="0"/>
        <w:pageBreakBefore w:val="0"/>
        <w:kinsoku/>
        <w:wordWrap/>
        <w:overflowPunct/>
        <w:topLinePunct w:val="0"/>
        <w:autoSpaceDE/>
        <w:autoSpaceDN/>
        <w:bidi w:val="0"/>
        <w:snapToGrid w:val="0"/>
        <w:spacing w:line="240" w:lineRule="auto"/>
        <w:ind w:right="0" w:rightChars="0" w:firstLine="562"/>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本章介绍了交通运输安全系统评价的主要内容，并对常用的评价方法进行分析，包括安全检查表评价法、作业条件危险性评价法、概率安全评价法的计算过程等。</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本章要求掌握交通运输安全系统评价的定义与内容，熟悉各种评价方法的计算过程。</w:t>
      </w:r>
    </w:p>
    <w:p>
      <w:pPr>
        <w:pStyle w:val="15"/>
        <w:keepNext w:val="0"/>
        <w:keepLines w:val="0"/>
        <w:pageBreakBefore w:val="0"/>
        <w:kinsoku/>
        <w:wordWrap/>
        <w:overflowPunct/>
        <w:topLinePunct w:val="0"/>
        <w:autoSpaceDE/>
        <w:autoSpaceDN/>
        <w:bidi w:val="0"/>
        <w:snapToGrid w:val="0"/>
        <w:spacing w:line="240" w:lineRule="auto"/>
        <w:ind w:right="0" w:rightChars="0" w:firstLine="562"/>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5.1 概述</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5.2 常用评价方法</w:t>
      </w:r>
    </w:p>
    <w:p>
      <w:pPr>
        <w:pStyle w:val="15"/>
        <w:keepNext w:val="0"/>
        <w:keepLines w:val="0"/>
        <w:pageBreakBefore w:val="0"/>
        <w:kinsoku/>
        <w:wordWrap/>
        <w:overflowPunct/>
        <w:topLinePunct w:val="0"/>
        <w:autoSpaceDE/>
        <w:autoSpaceDN/>
        <w:bidi w:val="0"/>
        <w:snapToGrid w:val="0"/>
        <w:spacing w:line="240" w:lineRule="auto"/>
        <w:ind w:right="0" w:rightChars="0" w:firstLine="562"/>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pStyle w:val="20"/>
        <w:keepNext w:val="0"/>
        <w:keepLines w:val="0"/>
        <w:pageBreakBefore w:val="0"/>
        <w:kinsoku/>
        <w:wordWrap/>
        <w:overflowPunct/>
        <w:topLinePunct w:val="0"/>
        <w:autoSpaceDE/>
        <w:autoSpaceDN/>
        <w:bidi w:val="0"/>
        <w:snapToGrid w:val="0"/>
        <w:spacing w:line="240" w:lineRule="auto"/>
        <w:ind w:right="0" w:rightChars="0" w:firstLine="482"/>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 概述</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识记：交通运输安全系统评价的定义；安全评价的依据与核心。</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领会：运输系统安全评价的程序与内容；交通运输安全评价的意义。</w:t>
      </w:r>
    </w:p>
    <w:p>
      <w:pPr>
        <w:pStyle w:val="20"/>
        <w:keepNext w:val="0"/>
        <w:keepLines w:val="0"/>
        <w:pageBreakBefore w:val="0"/>
        <w:kinsoku/>
        <w:wordWrap/>
        <w:overflowPunct/>
        <w:topLinePunct w:val="0"/>
        <w:autoSpaceDE/>
        <w:autoSpaceDN/>
        <w:bidi w:val="0"/>
        <w:snapToGrid w:val="0"/>
        <w:spacing w:line="240" w:lineRule="auto"/>
        <w:ind w:right="0" w:rightChars="0" w:firstLine="482"/>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 常用评价方法</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识记：安全检查表评价法分类，概率安全评价法内涵。</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领会：作业条件危险性评价法，概率安全评价法的表现形式。</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简单应用：运用加权平均法确定安全等级。</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综合应用：概率风险计算。</w:t>
      </w:r>
    </w:p>
    <w:p>
      <w:pPr>
        <w:pStyle w:val="15"/>
        <w:keepNext w:val="0"/>
        <w:keepLines w:val="0"/>
        <w:pageBreakBefore w:val="0"/>
        <w:kinsoku/>
        <w:wordWrap/>
        <w:overflowPunct/>
        <w:topLinePunct w:val="0"/>
        <w:autoSpaceDE/>
        <w:autoSpaceDN/>
        <w:bidi w:val="0"/>
        <w:snapToGrid w:val="0"/>
        <w:spacing w:line="240" w:lineRule="auto"/>
        <w:ind w:right="0" w:rightChars="0" w:firstLine="562"/>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本章的重点：交通运输安全系统评价的内涵；作业条件危险性评价法；概率安全评价法。</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本章的难点：概率风险计算。</w:t>
      </w:r>
    </w:p>
    <w:p>
      <w:pPr>
        <w:keepNext w:val="0"/>
        <w:keepLines w:val="0"/>
        <w:pageBreakBefore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rPr>
      </w:pPr>
    </w:p>
    <w:p>
      <w:pPr>
        <w:pStyle w:val="19"/>
        <w:keepNext w:val="0"/>
        <w:keepLines w:val="0"/>
        <w:pageBreakBefore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交通运输安全系统管理</w:t>
      </w:r>
    </w:p>
    <w:p>
      <w:pPr>
        <w:pStyle w:val="15"/>
        <w:keepNext w:val="0"/>
        <w:keepLines w:val="0"/>
        <w:pageBreakBefore w:val="0"/>
        <w:kinsoku/>
        <w:wordWrap/>
        <w:overflowPunct/>
        <w:topLinePunct w:val="0"/>
        <w:autoSpaceDE/>
        <w:autoSpaceDN/>
        <w:bidi w:val="0"/>
        <w:snapToGrid w:val="0"/>
        <w:spacing w:line="240" w:lineRule="auto"/>
        <w:ind w:right="0" w:rightChars="0" w:firstLine="562"/>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一、学习目的与要求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介绍了交通运输安全系统管理的主要内容，对交通运输安全系统的整体及各个组成部分进行分析，结合法律规定和国内外现状引入交通运输应急管理和事故管理内容，针对事故预防介绍安全教育和安全文化的建设方法。</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本章要求掌握交通运输安全管理主要内容，理解交通运输安全管理的重要理论，初步了解对应的方法技术。</w:t>
      </w:r>
    </w:p>
    <w:p>
      <w:pPr>
        <w:pStyle w:val="15"/>
        <w:keepNext w:val="0"/>
        <w:keepLines w:val="0"/>
        <w:pageBreakBefore w:val="0"/>
        <w:kinsoku/>
        <w:wordWrap/>
        <w:overflowPunct/>
        <w:topLinePunct w:val="0"/>
        <w:autoSpaceDE/>
        <w:autoSpaceDN/>
        <w:bidi w:val="0"/>
        <w:snapToGrid w:val="0"/>
        <w:spacing w:line="240" w:lineRule="auto"/>
        <w:ind w:right="0" w:rightChars="0" w:firstLine="562"/>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二、课程内容</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6.1 交通运输安全管理</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 xml:space="preserve">6.2 </w:t>
      </w:r>
      <w:bookmarkStart w:id="4" w:name="_Hlk130759674"/>
      <w:r>
        <w:rPr>
          <w:rFonts w:hint="eastAsia" w:ascii="仿宋_GB2312" w:hAnsi="仿宋_GB2312" w:eastAsia="仿宋_GB2312" w:cs="仿宋_GB2312"/>
          <w:b w:val="0"/>
          <w:bCs w:val="0"/>
          <w:sz w:val="21"/>
          <w:szCs w:val="21"/>
        </w:rPr>
        <w:t>交通运输安全总体管理</w:t>
      </w:r>
      <w:bookmarkEnd w:id="4"/>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6.3 交通运输安全对象管理</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6.4 交通运输应急管理</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6.5 交通运输事故管理</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6.6 交通运输安全教育</w:t>
      </w:r>
    </w:p>
    <w:p>
      <w:pPr>
        <w:keepNext w:val="0"/>
        <w:keepLines w:val="0"/>
        <w:pageBreakBefore w:val="0"/>
        <w:kinsoku/>
        <w:wordWrap/>
        <w:overflowPunct/>
        <w:topLinePunct w:val="0"/>
        <w:autoSpaceDE/>
        <w:autoSpaceDN/>
        <w:bidi w:val="0"/>
        <w:snapToGrid w:val="0"/>
        <w:spacing w:line="240" w:lineRule="auto"/>
        <w:ind w:right="0" w:rightChars="0" w:firstLine="420" w:firstLineChars="20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6.7 交通运输安全文化</w:t>
      </w:r>
    </w:p>
    <w:p>
      <w:pPr>
        <w:pStyle w:val="15"/>
        <w:keepNext w:val="0"/>
        <w:keepLines w:val="0"/>
        <w:pageBreakBefore w:val="0"/>
        <w:kinsoku/>
        <w:wordWrap/>
        <w:overflowPunct/>
        <w:topLinePunct w:val="0"/>
        <w:autoSpaceDE/>
        <w:autoSpaceDN/>
        <w:bidi w:val="0"/>
        <w:snapToGrid w:val="0"/>
        <w:spacing w:line="240" w:lineRule="auto"/>
        <w:ind w:right="0" w:rightChars="0" w:firstLine="562"/>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三、考核知识点与考核要求</w:t>
      </w:r>
    </w:p>
    <w:p>
      <w:pPr>
        <w:pStyle w:val="20"/>
        <w:keepNext w:val="0"/>
        <w:keepLines w:val="0"/>
        <w:pageBreakBefore w:val="0"/>
        <w:kinsoku/>
        <w:wordWrap/>
        <w:overflowPunct/>
        <w:topLinePunct w:val="0"/>
        <w:autoSpaceDE/>
        <w:autoSpaceDN/>
        <w:bidi w:val="0"/>
        <w:snapToGrid w:val="0"/>
        <w:spacing w:line="240" w:lineRule="auto"/>
        <w:ind w:right="0" w:rightChars="0" w:firstLine="482"/>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 交通运输安全管理</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识记：交通运输安全管理的定义；交通运输安全系统管理的特点。</w:t>
      </w:r>
    </w:p>
    <w:p>
      <w:pPr>
        <w:keepNext w:val="0"/>
        <w:keepLines w:val="0"/>
        <w:pageBreakBefore w:val="0"/>
        <w:kinsoku/>
        <w:wordWrap/>
        <w:overflowPunct/>
        <w:topLinePunct w:val="0"/>
        <w:autoSpaceDE/>
        <w:autoSpaceDN/>
        <w:bidi w:val="0"/>
        <w:snapToGrid w:val="0"/>
        <w:spacing w:line="240" w:lineRule="auto"/>
        <w:ind w:left="420" w:leftChars="200" w:right="0" w:rightChars="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领会：安全管理的发展。</w:t>
      </w:r>
    </w:p>
    <w:p>
      <w:pPr>
        <w:pStyle w:val="20"/>
        <w:keepNext w:val="0"/>
        <w:keepLines w:val="0"/>
        <w:pageBreakBefore w:val="0"/>
        <w:kinsoku/>
        <w:wordWrap/>
        <w:overflowPunct/>
        <w:topLinePunct w:val="0"/>
        <w:autoSpaceDE/>
        <w:autoSpaceDN/>
        <w:bidi w:val="0"/>
        <w:snapToGrid w:val="0"/>
        <w:spacing w:line="240" w:lineRule="auto"/>
        <w:ind w:right="0" w:rightChars="0" w:firstLine="482"/>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 交通运输安全总体管理</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识记：交通运输安全管理主要内容；安全管理原则；安全保障系统定义。</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领会：安全保障系统的要求。</w:t>
      </w:r>
    </w:p>
    <w:p>
      <w:pPr>
        <w:pStyle w:val="20"/>
        <w:keepNext w:val="0"/>
        <w:keepLines w:val="0"/>
        <w:pageBreakBefore w:val="0"/>
        <w:kinsoku/>
        <w:wordWrap/>
        <w:overflowPunct/>
        <w:topLinePunct w:val="0"/>
        <w:autoSpaceDE/>
        <w:autoSpaceDN/>
        <w:bidi w:val="0"/>
        <w:snapToGrid w:val="0"/>
        <w:spacing w:line="240" w:lineRule="auto"/>
        <w:ind w:right="0" w:rightChars="0" w:firstLine="482"/>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 交通运输安全对象管理</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识记：交通运输安全对象管理内涵；车辆管理定义。</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领会：安全对象管理子系统分类及内容；车辆管理主要内容。</w:t>
      </w:r>
    </w:p>
    <w:p>
      <w:pPr>
        <w:pStyle w:val="20"/>
        <w:keepNext w:val="0"/>
        <w:keepLines w:val="0"/>
        <w:pageBreakBefore w:val="0"/>
        <w:kinsoku/>
        <w:wordWrap/>
        <w:overflowPunct/>
        <w:topLinePunct w:val="0"/>
        <w:autoSpaceDE/>
        <w:autoSpaceDN/>
        <w:bidi w:val="0"/>
        <w:snapToGrid w:val="0"/>
        <w:spacing w:line="240" w:lineRule="auto"/>
        <w:ind w:right="0" w:rightChars="0" w:firstLine="482"/>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 交通运输应急管理</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识记：应急管理定义；应急管理四阶段。</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领会：“一案三制”内容；我国交通应急管理成果及不足之处。</w:t>
      </w:r>
    </w:p>
    <w:p>
      <w:pPr>
        <w:pStyle w:val="20"/>
        <w:keepNext w:val="0"/>
        <w:keepLines w:val="0"/>
        <w:pageBreakBefore w:val="0"/>
        <w:kinsoku/>
        <w:wordWrap/>
        <w:overflowPunct/>
        <w:topLinePunct w:val="0"/>
        <w:autoSpaceDE/>
        <w:autoSpaceDN/>
        <w:bidi w:val="0"/>
        <w:snapToGrid w:val="0"/>
        <w:spacing w:line="240" w:lineRule="auto"/>
        <w:ind w:right="0" w:rightChars="0" w:firstLine="482"/>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（五） 交通运输事故管理</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识记：事故的两面性；事故上报内容；事故结案类型。</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领会：两面性的转化条件；交通事故调查对象；交通事故调查的意义和目的。</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简单应用：事故调查报告内容。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综合应用：责任事故处理过程。</w:t>
      </w:r>
    </w:p>
    <w:p>
      <w:pPr>
        <w:pStyle w:val="20"/>
        <w:keepNext w:val="0"/>
        <w:keepLines w:val="0"/>
        <w:pageBreakBefore w:val="0"/>
        <w:kinsoku/>
        <w:wordWrap/>
        <w:overflowPunct/>
        <w:topLinePunct w:val="0"/>
        <w:autoSpaceDE/>
        <w:autoSpaceDN/>
        <w:bidi w:val="0"/>
        <w:snapToGrid w:val="0"/>
        <w:spacing w:line="240" w:lineRule="auto"/>
        <w:ind w:right="0" w:rightChars="0" w:firstLine="482"/>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（六） 交通运输安全教育</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识记：安全教育目的；安全培训内涵。</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领会：安全教育内容。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简单应用：开展安全教育的步骤。</w:t>
      </w:r>
    </w:p>
    <w:p>
      <w:pPr>
        <w:pStyle w:val="20"/>
        <w:keepNext w:val="0"/>
        <w:keepLines w:val="0"/>
        <w:pageBreakBefore w:val="0"/>
        <w:kinsoku/>
        <w:wordWrap/>
        <w:overflowPunct/>
        <w:topLinePunct w:val="0"/>
        <w:autoSpaceDE/>
        <w:autoSpaceDN/>
        <w:bidi w:val="0"/>
        <w:snapToGrid w:val="0"/>
        <w:spacing w:line="240" w:lineRule="auto"/>
        <w:ind w:right="0" w:rightChars="0" w:firstLine="482"/>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（七） 交通运输安全文化</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识记：安全生产五要素；安全文化的功能和作用。</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领会：安全文化基本观点；安全文化建设内容和重点。</w:t>
      </w:r>
    </w:p>
    <w:p>
      <w:pPr>
        <w:pStyle w:val="15"/>
        <w:keepNext w:val="0"/>
        <w:keepLines w:val="0"/>
        <w:pageBreakBefore w:val="0"/>
        <w:kinsoku/>
        <w:wordWrap/>
        <w:overflowPunct/>
        <w:topLinePunct w:val="0"/>
        <w:autoSpaceDE/>
        <w:autoSpaceDN/>
        <w:bidi w:val="0"/>
        <w:snapToGrid w:val="0"/>
        <w:spacing w:line="240" w:lineRule="auto"/>
        <w:ind w:right="0" w:rightChars="0" w:firstLine="562"/>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四、本章重点、难点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本章的重点：交通运输安全管理主要内容；安全保障系统内涵；机动车管理主要内容；交通应急管理内涵；交通安全教育内容；交通运输安全文化建设重点。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本章的难点：事故的两面性及转换条件；交通事故处理过程。</w:t>
      </w:r>
    </w:p>
    <w:p>
      <w:pPr>
        <w:pStyle w:val="14"/>
        <w:keepNext w:val="0"/>
        <w:keepLines w:val="0"/>
        <w:pageBreakBefore w:val="0"/>
        <w:kinsoku/>
        <w:wordWrap/>
        <w:overflowPunct/>
        <w:topLinePunct w:val="0"/>
        <w:autoSpaceDE/>
        <w:autoSpaceDN/>
        <w:bidi w:val="0"/>
        <w:snapToGrid w:val="0"/>
        <w:spacing w:line="240" w:lineRule="auto"/>
        <w:ind w:right="0" w:rightChars="0" w:firstLine="643"/>
        <w:rPr>
          <w:rFonts w:hint="eastAsia" w:ascii="仿宋_GB2312" w:hAnsi="仿宋_GB2312" w:eastAsia="仿宋_GB2312" w:cs="仿宋_GB2312"/>
          <w:b w:val="0"/>
          <w:bCs w:val="0"/>
          <w:sz w:val="21"/>
          <w:szCs w:val="21"/>
        </w:rPr>
      </w:pPr>
    </w:p>
    <w:p>
      <w:pPr>
        <w:pStyle w:val="14"/>
        <w:keepNext w:val="0"/>
        <w:keepLines w:val="0"/>
        <w:pageBreakBefore w:val="0"/>
        <w:kinsoku/>
        <w:wordWrap/>
        <w:overflowPunct/>
        <w:topLinePunct w:val="0"/>
        <w:autoSpaceDE/>
        <w:autoSpaceDN/>
        <w:bidi w:val="0"/>
        <w:snapToGrid w:val="0"/>
        <w:spacing w:line="240" w:lineRule="auto"/>
        <w:ind w:right="0" w:rightChars="0" w:firstLine="643"/>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t>Ⅳ  关于大纲的说明与考核实施要求</w:t>
      </w:r>
    </w:p>
    <w:p>
      <w:pPr>
        <w:pStyle w:val="15"/>
        <w:keepNext w:val="0"/>
        <w:keepLines w:val="0"/>
        <w:pageBreakBefore w:val="0"/>
        <w:kinsoku/>
        <w:wordWrap/>
        <w:overflowPunct/>
        <w:topLinePunct w:val="0"/>
        <w:autoSpaceDE/>
        <w:autoSpaceDN/>
        <w:bidi w:val="0"/>
        <w:snapToGrid w:val="0"/>
        <w:spacing w:line="240" w:lineRule="auto"/>
        <w:ind w:right="0" w:rightChars="0" w:firstLine="562"/>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一、自学考试大纲的目的和作用</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课程自学考试大纲是根据专业自学考试计划的要求，结合自学考试的特点而确定。其目的是对个人自学、社会助学和课程考试命题进行指导和规定。</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课程自学考试大纲明确了课程学习的内容以及深广度，规定了课程自学考试的范围和标准。因此，它是编写自学考试教材和辅导书的依据，是社会助学组织进行自学辅导的依据，是自学者学习教材、掌握课程内容知识范围和程度的依据，也是进行自学考试命题的依据。</w:t>
      </w:r>
    </w:p>
    <w:p>
      <w:pPr>
        <w:pStyle w:val="15"/>
        <w:keepNext w:val="0"/>
        <w:keepLines w:val="0"/>
        <w:pageBreakBefore w:val="0"/>
        <w:kinsoku/>
        <w:wordWrap/>
        <w:overflowPunct/>
        <w:topLinePunct w:val="0"/>
        <w:autoSpaceDE/>
        <w:autoSpaceDN/>
        <w:bidi w:val="0"/>
        <w:snapToGrid w:val="0"/>
        <w:spacing w:line="240" w:lineRule="auto"/>
        <w:ind w:right="0" w:rightChars="0" w:firstLine="562"/>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二、课程自学考试大纲与教材的关系</w:t>
      </w:r>
    </w:p>
    <w:p>
      <w:pPr>
        <w:pStyle w:val="4"/>
        <w:keepNext w:val="0"/>
        <w:keepLines w:val="0"/>
        <w:pageBreakBefore w:val="0"/>
        <w:kinsoku/>
        <w:wordWrap/>
        <w:overflowPunct/>
        <w:topLinePunct w:val="0"/>
        <w:autoSpaceDE/>
        <w:autoSpaceDN/>
        <w:bidi w:val="0"/>
        <w:snapToGrid w:val="0"/>
        <w:spacing w:after="0" w:line="240" w:lineRule="auto"/>
        <w:ind w:left="0" w:leftChars="0"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课程自学考试大纲是进行学习和考核的依据，教材给出了学习掌握课程知识的基本内容与范围，教材的内容还包括大纲所规定的课程知识的扩展与发挥。课程内容在教材中可以体现一定的深度或难度，但在大纲中对考核的要求一定要适当。</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大纲与教材所体现的课程内容基本一致；大纲里面的课程内容和考核知识点，教材里一般也要有。反过来教材里有的内容，大纲里就不一定体现。</w:t>
      </w:r>
    </w:p>
    <w:p>
      <w:pPr>
        <w:pStyle w:val="15"/>
        <w:keepNext w:val="0"/>
        <w:keepLines w:val="0"/>
        <w:pageBreakBefore w:val="0"/>
        <w:kinsoku/>
        <w:wordWrap/>
        <w:overflowPunct/>
        <w:topLinePunct w:val="0"/>
        <w:autoSpaceDE/>
        <w:autoSpaceDN/>
        <w:bidi w:val="0"/>
        <w:snapToGrid w:val="0"/>
        <w:spacing w:line="240" w:lineRule="auto"/>
        <w:ind w:right="0" w:rightChars="0" w:firstLine="562"/>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三、关于自学教材</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bookmarkStart w:id="7" w:name="_GoBack"/>
      <w:r>
        <w:rPr>
          <w:rFonts w:hint="eastAsia" w:ascii="仿宋_GB2312" w:hAnsi="仿宋_GB2312" w:eastAsia="仿宋_GB2312" w:cs="仿宋_GB2312"/>
          <w:b w:val="0"/>
          <w:bCs w:val="0"/>
          <w:sz w:val="21"/>
          <w:szCs w:val="21"/>
        </w:rPr>
        <w:t>《交通运输安全管理》，秦进主编，高等教育出版社出版，2021年版</w:t>
      </w:r>
      <w:bookmarkEnd w:id="7"/>
      <w:r>
        <w:rPr>
          <w:rFonts w:hint="eastAsia" w:ascii="仿宋_GB2312" w:hAnsi="仿宋_GB2312" w:eastAsia="仿宋_GB2312" w:cs="仿宋_GB2312"/>
          <w:b w:val="0"/>
          <w:bCs w:val="0"/>
          <w:sz w:val="21"/>
          <w:szCs w:val="21"/>
        </w:rPr>
        <w:t>。</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本教材第四章中的第五、六节，第五章中的第三节</w:t>
      </w:r>
      <w:r>
        <w:rPr>
          <w:rFonts w:hint="eastAsia" w:ascii="仿宋_GB2312" w:hAnsi="仿宋_GB2312" w:eastAsia="仿宋_GB2312" w:cs="仿宋_GB2312"/>
          <w:b w:val="0"/>
          <w:bCs w:val="0"/>
          <w:sz w:val="21"/>
          <w:szCs w:val="21"/>
          <w:lang w:eastAsia="zh-CN"/>
        </w:rPr>
        <w:t>内容</w:t>
      </w:r>
      <w:r>
        <w:rPr>
          <w:rFonts w:hint="eastAsia" w:ascii="仿宋_GB2312" w:hAnsi="仿宋_GB2312" w:eastAsia="仿宋_GB2312" w:cs="仿宋_GB2312"/>
          <w:b w:val="0"/>
          <w:bCs w:val="0"/>
          <w:sz w:val="21"/>
          <w:szCs w:val="21"/>
        </w:rPr>
        <w:t>，考生可根据个人能力兴趣学习，不纳入考核范围。</w:t>
      </w:r>
    </w:p>
    <w:p>
      <w:pPr>
        <w:pStyle w:val="15"/>
        <w:keepNext w:val="0"/>
        <w:keepLines w:val="0"/>
        <w:pageBreakBefore w:val="0"/>
        <w:kinsoku/>
        <w:wordWrap/>
        <w:overflowPunct/>
        <w:topLinePunct w:val="0"/>
        <w:autoSpaceDE/>
        <w:autoSpaceDN/>
        <w:bidi w:val="0"/>
        <w:snapToGrid w:val="0"/>
        <w:spacing w:line="240" w:lineRule="auto"/>
        <w:ind w:right="0" w:rightChars="0" w:firstLine="562"/>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四、关于自学要求和自学方法的指导</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本大纲的课程基本要求是依据专业考试计划和专业培养目标而确定的。课程基本要求还明确了课程的基本内容，以及对基本内容掌握的程度。基本要求中的知识点构成了课程内容的主体部分。因此，课程基本内容掌握程度、课程考核知识点是高等教育自学考试考核的主要内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为有效地指导个人自学和社会助学，本大纲已指明了课程的重点和难点，在章节的基本要求中一般也指明了章节内容的重点和难点。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FF0000"/>
          <w:sz w:val="21"/>
          <w:szCs w:val="21"/>
        </w:rPr>
      </w:pPr>
      <w:r>
        <w:rPr>
          <w:rFonts w:hint="eastAsia" w:ascii="仿宋_GB2312" w:hAnsi="仿宋_GB2312" w:eastAsia="仿宋_GB2312" w:cs="仿宋_GB2312"/>
          <w:b w:val="0"/>
          <w:bCs w:val="0"/>
          <w:sz w:val="21"/>
          <w:szCs w:val="21"/>
        </w:rPr>
        <w:t>由于成人学习的个性化特点，建议业余自学时间不低于60个学时。</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建议学习本课程时注意以下几点：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1.在学习本课程教材之前，应先仔细阅读本大纲，了解本课程的性质和特点，熟知本课程的基本要求，在学习本课程时，能紧紧围绕本课程的基本要求。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2.在自学每一章的教材之前，先阅读本大纲中对应章节的学习目的与要求、考核知识点与考核要求，以使在自学时做到心中有数。</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把学习基本理论、基本知识与分析、解决实际问题结合起来。首先，要弄懂基本理论、基本原理、基本知识和基本方法；其次，要学习运用这些知识联系实际解决有关实际问题。重点是要深刻领会教材内容，将知识转化为能力，提高运用知识分析问题和解决问题的能力。</w:t>
      </w:r>
    </w:p>
    <w:p>
      <w:pPr>
        <w:pStyle w:val="7"/>
        <w:keepNext w:val="0"/>
        <w:keepLines w:val="0"/>
        <w:pageBreakBefore w:val="0"/>
        <w:shd w:val="clear" w:color="auto" w:fill="FFFFFF"/>
        <w:kinsoku/>
        <w:wordWrap/>
        <w:overflowPunct/>
        <w:topLinePunct w:val="0"/>
        <w:autoSpaceDE/>
        <w:autoSpaceDN/>
        <w:bidi w:val="0"/>
        <w:snapToGrid w:val="0"/>
        <w:spacing w:before="0" w:beforeAutospacing="0" w:after="0" w:afterAutospacing="0" w:line="240" w:lineRule="auto"/>
        <w:ind w:right="0" w:rightChars="0" w:firstLine="420" w:firstLineChars="200"/>
        <w:jc w:val="both"/>
        <w:rPr>
          <w:rFonts w:hint="eastAsia" w:ascii="仿宋_GB2312" w:hAnsi="仿宋_GB2312" w:eastAsia="仿宋_GB2312" w:cs="仿宋_GB2312"/>
          <w:b w:val="0"/>
          <w:bCs w:val="0"/>
          <w:color w:val="auto"/>
          <w:kern w:val="2"/>
          <w:sz w:val="21"/>
          <w:szCs w:val="21"/>
        </w:rPr>
      </w:pPr>
      <w:r>
        <w:rPr>
          <w:rFonts w:hint="eastAsia" w:ascii="仿宋_GB2312" w:hAnsi="仿宋_GB2312" w:eastAsia="仿宋_GB2312" w:cs="仿宋_GB2312"/>
          <w:b w:val="0"/>
          <w:bCs w:val="0"/>
          <w:color w:val="auto"/>
          <w:kern w:val="2"/>
          <w:sz w:val="21"/>
          <w:szCs w:val="21"/>
        </w:rPr>
        <w:t>4.考试前梳理已经学习过的内容，搞清楚一些基本概念、理论及方法之间的关系，便于记忆、加深理解，从而掌握内容复杂的知识点。例如第五章，首先明确安全系统工程、交通运输安全影响因素、交通运输事故致因理论等概念，应用事故致因理论分析影响因素对安全系统工程的作用过程，即可把握交通运输安全系统评价方法的底层逻辑和具体实践。</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5.学习交通运输安全的目的是运用安全系统管理技术提升交通运输系统安全性，综合应用能力的培养除要学习课程书本知识之外，建议跟踪当前国内外交通运输系统采用的安全管理方法以及相关交通事故案例，提高交通运输系统安全管理能力。</w:t>
      </w:r>
    </w:p>
    <w:p>
      <w:pPr>
        <w:pStyle w:val="15"/>
        <w:keepNext w:val="0"/>
        <w:keepLines w:val="0"/>
        <w:pageBreakBefore w:val="0"/>
        <w:kinsoku/>
        <w:wordWrap/>
        <w:overflowPunct/>
        <w:topLinePunct w:val="0"/>
        <w:autoSpaceDE/>
        <w:autoSpaceDN/>
        <w:bidi w:val="0"/>
        <w:snapToGrid w:val="0"/>
        <w:spacing w:line="240" w:lineRule="auto"/>
        <w:ind w:right="0" w:rightChars="0" w:firstLine="562"/>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eastAsia="zh-CN"/>
        </w:rPr>
        <w:t>五</w:t>
      </w:r>
      <w:r>
        <w:rPr>
          <w:rFonts w:hint="eastAsia" w:ascii="仿宋_GB2312" w:hAnsi="仿宋_GB2312" w:eastAsia="仿宋_GB2312" w:cs="仿宋_GB2312"/>
          <w:b w:val="0"/>
          <w:bCs w:val="0"/>
          <w:sz w:val="21"/>
          <w:szCs w:val="21"/>
        </w:rPr>
        <w:t>、对社会助学的要求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对担任本课程自学助学的任课教师和自学助学单位提出以下几条基本要求。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1.熟知本课程考试大纲的各项要求，熟悉各章节的考核知识点。</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2.辅导教学以大纲为依据，不要随意删减内容，以免偏离大纲。</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3.辅导还要注意突出重点，要帮助学生对课程内容建立一个整体的概念。</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kern w:val="0"/>
          <w:sz w:val="21"/>
          <w:szCs w:val="21"/>
          <w14:textFill>
            <w14:solidFill>
              <w14:schemeClr w14:val="tx1"/>
            </w14:solidFill>
          </w14:textFill>
        </w:rPr>
      </w:pPr>
      <w:r>
        <w:rPr>
          <w:rFonts w:hint="eastAsia" w:ascii="仿宋_GB2312" w:hAnsi="仿宋_GB2312" w:eastAsia="仿宋_GB2312" w:cs="仿宋_GB2312"/>
          <w:b w:val="0"/>
          <w:bCs w:val="0"/>
          <w:color w:val="000000" w:themeColor="text1"/>
          <w:kern w:val="0"/>
          <w:sz w:val="21"/>
          <w:szCs w:val="21"/>
          <w14:textFill>
            <w14:solidFill>
              <w14:schemeClr w14:val="tx1"/>
            </w14:solidFill>
          </w14:textFill>
        </w:rPr>
        <w:t>4.助学者在辅导时应帮助自学者梳理重点内容和普通内容之间的关系，在自学者全面掌握全部考试内容的基础上，帮助他们解读交通安全管理事故案例，及时对自学者的提问进行回复和评估，结合自学者需求提供反馈和建议。</w:t>
      </w:r>
    </w:p>
    <w:p>
      <w:pPr>
        <w:keepNext w:val="0"/>
        <w:keepLines w:val="0"/>
        <w:pageBreakBefore w:val="0"/>
        <w:widowControl/>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color w:val="000000" w:themeColor="text1"/>
          <w:sz w:val="21"/>
          <w:szCs w:val="21"/>
          <w14:textFill>
            <w14:solidFill>
              <w14:schemeClr w14:val="tx1"/>
            </w14:solidFill>
          </w14:textFill>
        </w:rPr>
        <w:t>5.交通运输安全是与交通运输管理紧密结合的重要课程，作为交通运输企业进行系统管理的重要考虑因素，助学者应帮助自学者了解交通运输企业经营中的主要安全问题，运用交通运输安全理论进行系统分析，对交通运输系统开展安全评价和管理，从而提高自学者的交通运输安全意识，深入理解基础理论，提高他们的分析解决问题的能力。</w:t>
      </w:r>
    </w:p>
    <w:p>
      <w:pPr>
        <w:keepNext w:val="0"/>
        <w:keepLines w:val="0"/>
        <w:pageBreakBefore w:val="0"/>
        <w:widowControl/>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000000" w:themeColor="text1"/>
          <w:sz w:val="21"/>
          <w:szCs w:val="21"/>
          <w14:textFill>
            <w14:solidFill>
              <w14:schemeClr w14:val="tx1"/>
            </w14:solidFill>
          </w14:textFill>
        </w:rPr>
      </w:pPr>
      <w:r>
        <w:rPr>
          <w:rFonts w:hint="eastAsia" w:ascii="仿宋_GB2312" w:hAnsi="仿宋_GB2312" w:eastAsia="仿宋_GB2312" w:cs="仿宋_GB2312"/>
          <w:b w:val="0"/>
          <w:bCs w:val="0"/>
          <w:sz w:val="21"/>
          <w:szCs w:val="21"/>
          <w:lang w:eastAsia="zh-CN"/>
        </w:rPr>
        <w:t>本课程</w:t>
      </w:r>
      <w:r>
        <w:rPr>
          <w:rFonts w:hint="eastAsia" w:ascii="仿宋_GB2312" w:hAnsi="仿宋_GB2312" w:eastAsia="仿宋_GB2312" w:cs="仿宋_GB2312"/>
          <w:b w:val="0"/>
          <w:bCs w:val="0"/>
          <w:sz w:val="21"/>
          <w:szCs w:val="21"/>
        </w:rPr>
        <w:t>考纲内容学时</w:t>
      </w:r>
      <w:r>
        <w:rPr>
          <w:rFonts w:hint="eastAsia" w:ascii="仿宋_GB2312" w:hAnsi="仿宋_GB2312" w:eastAsia="仿宋_GB2312" w:cs="仿宋_GB2312"/>
          <w:b w:val="0"/>
          <w:bCs w:val="0"/>
          <w:sz w:val="21"/>
          <w:szCs w:val="21"/>
          <w:lang w:val="en-US" w:eastAsia="zh-CN"/>
        </w:rPr>
        <w:t>建议</w:t>
      </w:r>
      <w:r>
        <w:rPr>
          <w:rFonts w:hint="eastAsia" w:ascii="仿宋_GB2312" w:hAnsi="仿宋_GB2312" w:eastAsia="仿宋_GB2312" w:cs="仿宋_GB2312"/>
          <w:b w:val="0"/>
          <w:bCs w:val="0"/>
          <w:sz w:val="21"/>
          <w:szCs w:val="21"/>
        </w:rPr>
        <w:t>：</w:t>
      </w:r>
    </w:p>
    <w:tbl>
      <w:tblPr>
        <w:tblStyle w:val="11"/>
        <w:tblW w:w="8320"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34"/>
        <w:gridCol w:w="4190"/>
        <w:gridCol w:w="199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78" w:hRule="atLeast"/>
        </w:trPr>
        <w:tc>
          <w:tcPr>
            <w:tcW w:w="2134" w:type="dxa"/>
            <w:vAlign w:val="center"/>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章次</w:t>
            </w:r>
          </w:p>
        </w:tc>
        <w:tc>
          <w:tcPr>
            <w:tcW w:w="4190" w:type="dxa"/>
            <w:vAlign w:val="center"/>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学习内容</w:t>
            </w:r>
          </w:p>
        </w:tc>
        <w:tc>
          <w:tcPr>
            <w:tcW w:w="1996" w:type="dxa"/>
            <w:vAlign w:val="center"/>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建议学时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50" w:hRule="atLeast"/>
        </w:trPr>
        <w:tc>
          <w:tcPr>
            <w:tcW w:w="2134" w:type="dxa"/>
            <w:vAlign w:val="center"/>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第1章</w:t>
            </w:r>
          </w:p>
        </w:tc>
        <w:tc>
          <w:tcPr>
            <w:tcW w:w="4190" w:type="dxa"/>
            <w:vAlign w:val="center"/>
          </w:tcPr>
          <w:p>
            <w:pPr>
              <w:keepNext w:val="0"/>
              <w:keepLines w:val="0"/>
              <w:pageBreakBefore w:val="0"/>
              <w:kinsoku/>
              <w:wordWrap/>
              <w:overflowPunct/>
              <w:topLinePunct w:val="0"/>
              <w:autoSpaceDE/>
              <w:autoSpaceDN/>
              <w:bidi w:val="0"/>
              <w:snapToGrid w:val="0"/>
              <w:spacing w:line="240" w:lineRule="auto"/>
              <w:ind w:right="0" w:rightChars="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安全管理重要性、基本概念</w:t>
            </w:r>
          </w:p>
          <w:p>
            <w:pPr>
              <w:keepNext w:val="0"/>
              <w:keepLines w:val="0"/>
              <w:pageBreakBefore w:val="0"/>
              <w:kinsoku/>
              <w:wordWrap/>
              <w:overflowPunct/>
              <w:topLinePunct w:val="0"/>
              <w:autoSpaceDE/>
              <w:autoSpaceDN/>
              <w:bidi w:val="0"/>
              <w:snapToGrid w:val="0"/>
              <w:spacing w:line="240" w:lineRule="auto"/>
              <w:ind w:right="0" w:rightChars="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安全系统工程、安全管理基本制度</w:t>
            </w:r>
          </w:p>
        </w:tc>
        <w:tc>
          <w:tcPr>
            <w:tcW w:w="1996" w:type="dxa"/>
            <w:vAlign w:val="center"/>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866" w:hRule="atLeast"/>
        </w:trPr>
        <w:tc>
          <w:tcPr>
            <w:tcW w:w="2134" w:type="dxa"/>
            <w:vAlign w:val="center"/>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第2章</w:t>
            </w:r>
          </w:p>
        </w:tc>
        <w:tc>
          <w:tcPr>
            <w:tcW w:w="4190" w:type="dxa"/>
            <w:vAlign w:val="center"/>
          </w:tcPr>
          <w:p>
            <w:pPr>
              <w:keepNext w:val="0"/>
              <w:keepLines w:val="0"/>
              <w:pageBreakBefore w:val="0"/>
              <w:kinsoku/>
              <w:wordWrap/>
              <w:overflowPunct/>
              <w:topLinePunct w:val="0"/>
              <w:autoSpaceDE/>
              <w:autoSpaceDN/>
              <w:bidi w:val="0"/>
              <w:snapToGrid w:val="0"/>
              <w:spacing w:line="240" w:lineRule="auto"/>
              <w:ind w:right="0" w:rightChars="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交通运输系统安全基本影响因素、</w:t>
            </w:r>
          </w:p>
          <w:p>
            <w:pPr>
              <w:keepNext w:val="0"/>
              <w:keepLines w:val="0"/>
              <w:pageBreakBefore w:val="0"/>
              <w:kinsoku/>
              <w:wordWrap/>
              <w:overflowPunct/>
              <w:topLinePunct w:val="0"/>
              <w:autoSpaceDE/>
              <w:autoSpaceDN/>
              <w:bidi w:val="0"/>
              <w:snapToGrid w:val="0"/>
              <w:spacing w:line="240" w:lineRule="auto"/>
              <w:ind w:right="0" w:rightChars="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人员影响因素分析、设备影响因素分析、环境影响因素分析、管理影响因素分析、高速铁路安全影响因素分析、高速公路安全影响因素分析</w:t>
            </w:r>
          </w:p>
        </w:tc>
        <w:tc>
          <w:tcPr>
            <w:tcW w:w="1996" w:type="dxa"/>
            <w:vAlign w:val="center"/>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50" w:hRule="atLeast"/>
        </w:trPr>
        <w:tc>
          <w:tcPr>
            <w:tcW w:w="2134" w:type="dxa"/>
            <w:vAlign w:val="center"/>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第3章</w:t>
            </w:r>
          </w:p>
        </w:tc>
        <w:tc>
          <w:tcPr>
            <w:tcW w:w="4190" w:type="dxa"/>
            <w:vAlign w:val="center"/>
          </w:tcPr>
          <w:p>
            <w:pPr>
              <w:keepNext w:val="0"/>
              <w:keepLines w:val="0"/>
              <w:pageBreakBefore w:val="0"/>
              <w:kinsoku/>
              <w:wordWrap/>
              <w:overflowPunct/>
              <w:topLinePunct w:val="0"/>
              <w:autoSpaceDE/>
              <w:autoSpaceDN/>
              <w:bidi w:val="0"/>
              <w:snapToGrid w:val="0"/>
              <w:spacing w:line="240" w:lineRule="auto"/>
              <w:ind w:right="0" w:rightChars="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系统理论、强制理论、人本理论、交通运输事故致因理论、交通运输事故预防理论</w:t>
            </w:r>
          </w:p>
        </w:tc>
        <w:tc>
          <w:tcPr>
            <w:tcW w:w="1996" w:type="dxa"/>
            <w:vAlign w:val="center"/>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3" w:hRule="atLeast"/>
        </w:trPr>
        <w:tc>
          <w:tcPr>
            <w:tcW w:w="2134" w:type="dxa"/>
            <w:vAlign w:val="center"/>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第4章</w:t>
            </w:r>
          </w:p>
        </w:tc>
        <w:tc>
          <w:tcPr>
            <w:tcW w:w="4190" w:type="dxa"/>
            <w:vAlign w:val="center"/>
          </w:tcPr>
          <w:p>
            <w:pPr>
              <w:keepNext w:val="0"/>
              <w:keepLines w:val="0"/>
              <w:pageBreakBefore w:val="0"/>
              <w:kinsoku/>
              <w:wordWrap/>
              <w:overflowPunct/>
              <w:topLinePunct w:val="0"/>
              <w:autoSpaceDE/>
              <w:autoSpaceDN/>
              <w:bidi w:val="0"/>
              <w:snapToGrid w:val="0"/>
              <w:spacing w:line="240" w:lineRule="auto"/>
              <w:ind w:right="0" w:rightChars="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交通运输安全系统分析内容、常用交通运输系统分析法、预先危险性分析、事故多发点分析</w:t>
            </w:r>
          </w:p>
        </w:tc>
        <w:tc>
          <w:tcPr>
            <w:tcW w:w="1996" w:type="dxa"/>
            <w:vAlign w:val="center"/>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23" w:hRule="atLeast"/>
        </w:trPr>
        <w:tc>
          <w:tcPr>
            <w:tcW w:w="2134" w:type="dxa"/>
            <w:vAlign w:val="center"/>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第5章</w:t>
            </w:r>
          </w:p>
        </w:tc>
        <w:tc>
          <w:tcPr>
            <w:tcW w:w="4190" w:type="dxa"/>
            <w:vAlign w:val="center"/>
          </w:tcPr>
          <w:p>
            <w:pPr>
              <w:keepNext w:val="0"/>
              <w:keepLines w:val="0"/>
              <w:pageBreakBefore w:val="0"/>
              <w:kinsoku/>
              <w:wordWrap/>
              <w:overflowPunct/>
              <w:topLinePunct w:val="0"/>
              <w:autoSpaceDE/>
              <w:autoSpaceDN/>
              <w:bidi w:val="0"/>
              <w:snapToGrid w:val="0"/>
              <w:spacing w:line="240" w:lineRule="auto"/>
              <w:ind w:right="0" w:rightChars="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交通运输安全系统评价的依据与核心、运输系统安全评价的程序与内容、交通运输安全评价的意义、常用评价方法</w:t>
            </w:r>
          </w:p>
        </w:tc>
        <w:tc>
          <w:tcPr>
            <w:tcW w:w="1996" w:type="dxa"/>
            <w:vAlign w:val="center"/>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00" w:hRule="atLeast"/>
        </w:trPr>
        <w:tc>
          <w:tcPr>
            <w:tcW w:w="2134" w:type="dxa"/>
            <w:vAlign w:val="center"/>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第6章</w:t>
            </w:r>
          </w:p>
        </w:tc>
        <w:tc>
          <w:tcPr>
            <w:tcW w:w="4190" w:type="dxa"/>
            <w:vAlign w:val="center"/>
          </w:tcPr>
          <w:p>
            <w:pPr>
              <w:keepNext w:val="0"/>
              <w:keepLines w:val="0"/>
              <w:pageBreakBefore w:val="0"/>
              <w:kinsoku/>
              <w:wordWrap/>
              <w:overflowPunct/>
              <w:topLinePunct w:val="0"/>
              <w:autoSpaceDE/>
              <w:autoSpaceDN/>
              <w:bidi w:val="0"/>
              <w:snapToGrid w:val="0"/>
              <w:spacing w:line="240" w:lineRule="auto"/>
              <w:ind w:right="0" w:rightChars="0"/>
              <w:jc w:val="left"/>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交通运输安全管理、交通运输安全总体管理、交通运输安全对象管理、交通运输应急管理、交通运输事故管理、交通运输安全教育、交通运输安全文化</w:t>
            </w:r>
          </w:p>
        </w:tc>
        <w:tc>
          <w:tcPr>
            <w:tcW w:w="1996" w:type="dxa"/>
            <w:vAlign w:val="center"/>
          </w:tcPr>
          <w:p>
            <w:pPr>
              <w:keepNext w:val="0"/>
              <w:keepLines w:val="0"/>
              <w:pageBreakBefore w:val="0"/>
              <w:kinsoku/>
              <w:wordWrap/>
              <w:overflowPunct/>
              <w:topLinePunct w:val="0"/>
              <w:autoSpaceDE/>
              <w:autoSpaceDN/>
              <w:bidi w:val="0"/>
              <w:snapToGrid w:val="0"/>
              <w:spacing w:line="240" w:lineRule="auto"/>
              <w:ind w:right="0" w:rightChars="0"/>
              <w:jc w:val="center"/>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10</w:t>
            </w:r>
          </w:p>
        </w:tc>
      </w:tr>
    </w:tbl>
    <w:p>
      <w:pPr>
        <w:pStyle w:val="15"/>
        <w:keepNext w:val="0"/>
        <w:keepLines w:val="0"/>
        <w:pageBreakBefore w:val="0"/>
        <w:kinsoku/>
        <w:wordWrap/>
        <w:overflowPunct/>
        <w:topLinePunct w:val="0"/>
        <w:autoSpaceDE/>
        <w:autoSpaceDN/>
        <w:bidi w:val="0"/>
        <w:snapToGrid w:val="0"/>
        <w:spacing w:line="240" w:lineRule="auto"/>
        <w:ind w:right="0" w:rightChars="0" w:firstLine="562"/>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eastAsia="zh-CN"/>
        </w:rPr>
        <w:t>六</w:t>
      </w:r>
      <w:r>
        <w:rPr>
          <w:rFonts w:hint="eastAsia" w:ascii="仿宋_GB2312" w:hAnsi="仿宋_GB2312" w:eastAsia="仿宋_GB2312" w:cs="仿宋_GB2312"/>
          <w:b w:val="0"/>
          <w:bCs w:val="0"/>
          <w:sz w:val="21"/>
          <w:szCs w:val="21"/>
        </w:rPr>
        <w:t>、对考核内容的说明</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 本课程要求考生学习和掌握的知识点内容都作为考核的内容。课程中各章的内容均由若干知识点组成，在自学考试中成为考核知识点。因此，课程自学考试大纲中所规定的考试内容是以分解为考核知识点的方式给出的。由于各知识点在课程中的地位、作用以及知识自身的特点不同，自学考试将对各知识点分别按四个认知层次确定其考核要求。</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auto"/>
          <w:sz w:val="21"/>
          <w:szCs w:val="21"/>
        </w:rPr>
      </w:pPr>
      <w:r>
        <w:rPr>
          <w:rFonts w:hint="eastAsia" w:ascii="仿宋_GB2312" w:hAnsi="仿宋_GB2312" w:eastAsia="仿宋_GB2312" w:cs="仿宋_GB2312"/>
          <w:b w:val="0"/>
          <w:bCs w:val="0"/>
          <w:sz w:val="21"/>
          <w:szCs w:val="21"/>
        </w:rPr>
        <w:t>2. 在考试之日起6个月前，由全国人民代表大会和国务院颁布或修订的法律、法规都将列入相应课程的考试范围。凡大纲、教材内容与现行法律、法规不符的，应以现行法律法规为准。命题时也会对我国经济建设和科技文化发展的重大方针政策的变化予以体现。</w:t>
      </w:r>
    </w:p>
    <w:p>
      <w:pPr>
        <w:pStyle w:val="15"/>
        <w:keepNext w:val="0"/>
        <w:keepLines w:val="0"/>
        <w:pageBreakBefore w:val="0"/>
        <w:kinsoku/>
        <w:wordWrap/>
        <w:overflowPunct/>
        <w:topLinePunct w:val="0"/>
        <w:autoSpaceDE/>
        <w:autoSpaceDN/>
        <w:bidi w:val="0"/>
        <w:snapToGrid w:val="0"/>
        <w:spacing w:line="240" w:lineRule="auto"/>
        <w:ind w:right="0" w:rightChars="0" w:firstLine="562"/>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lang w:eastAsia="zh-CN"/>
        </w:rPr>
        <w:t>七</w:t>
      </w:r>
      <w:r>
        <w:rPr>
          <w:rFonts w:hint="eastAsia" w:ascii="仿宋_GB2312" w:hAnsi="仿宋_GB2312" w:eastAsia="仿宋_GB2312" w:cs="仿宋_GB2312"/>
          <w:b w:val="0"/>
          <w:bCs w:val="0"/>
          <w:sz w:val="21"/>
          <w:szCs w:val="21"/>
        </w:rPr>
        <w:t>、关于考试命题的若干规定</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1.本课程考试采用闭卷笔试方式考核，考试时间150分钟</w:t>
      </w:r>
      <w:r>
        <w:rPr>
          <w:rFonts w:hint="eastAsia" w:ascii="仿宋_GB2312" w:hAnsi="仿宋_GB2312" w:eastAsia="仿宋_GB2312" w:cs="仿宋_GB2312"/>
          <w:b w:val="0"/>
          <w:bCs w:val="0"/>
          <w:sz w:val="21"/>
          <w:szCs w:val="21"/>
          <w:lang w:eastAsia="zh-CN"/>
        </w:rPr>
        <w:t>，</w:t>
      </w:r>
      <w:r>
        <w:rPr>
          <w:rFonts w:hint="eastAsia" w:ascii="仿宋_GB2312" w:hAnsi="仿宋_GB2312" w:eastAsia="仿宋_GB2312" w:cs="仿宋_GB2312"/>
          <w:b w:val="0"/>
          <w:bCs w:val="0"/>
          <w:sz w:val="21"/>
          <w:szCs w:val="21"/>
          <w:lang w:val="en-US" w:eastAsia="zh-CN"/>
        </w:rPr>
        <w:t>满分100分,60分及格</w:t>
      </w:r>
      <w:r>
        <w:rPr>
          <w:rFonts w:hint="eastAsia" w:ascii="仿宋_GB2312" w:hAnsi="仿宋_GB2312" w:eastAsia="仿宋_GB2312" w:cs="仿宋_GB2312"/>
          <w:b w:val="0"/>
          <w:bCs w:val="0"/>
          <w:sz w:val="21"/>
          <w:szCs w:val="21"/>
        </w:rPr>
        <w:t>。考试时只允许携带笔、橡皮、尺、无记忆存储功能以及无通讯功能的计算器。答卷必须使用蓝色或黑色钢笔或签字笔书写。</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2.本大纲各章所规定的基本要求、知识点及知识点下的知识细目，都属于考核的内容。考试命题既要覆盖到章，又要避免面面俱到。要注意突出课程的重点、章节重点，加大重点内容的覆盖度。</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3.不应命制超出大纲中考核知识点范围的题目，考核目标不得高于大纲中所规定的相应的最高能力层次要求。命题应着重考核自学者对基本概念、基本知识和基本理论是否了解或掌握，对基本方法是否会用或熟练。不应命制与基本要求不符的偏题或怪题。</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4.本课程在试卷中对不同能力层次要求的分数比例大致为：识记占20%，领会占30%，简单应用占30%，综合应用占20%。</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5.试题的难易程度分为4个等级：易、较易、较难和难四个等级。每份试卷中不同难度试题的分数比例一般为：易占20%，较易占30%，较难占</w:t>
      </w:r>
      <w:r>
        <w:rPr>
          <w:rFonts w:hint="eastAsia" w:ascii="仿宋_GB2312" w:hAnsi="仿宋_GB2312" w:eastAsia="仿宋_GB2312" w:cs="仿宋_GB2312"/>
          <w:b w:val="0"/>
          <w:bCs w:val="0"/>
          <w:sz w:val="21"/>
          <w:szCs w:val="21"/>
          <w:lang w:val="en-US" w:eastAsia="zh-CN"/>
        </w:rPr>
        <w:t>3</w:t>
      </w:r>
      <w:r>
        <w:rPr>
          <w:rFonts w:hint="eastAsia" w:ascii="仿宋_GB2312" w:hAnsi="仿宋_GB2312" w:eastAsia="仿宋_GB2312" w:cs="仿宋_GB2312"/>
          <w:b w:val="0"/>
          <w:bCs w:val="0"/>
          <w:sz w:val="21"/>
          <w:szCs w:val="21"/>
        </w:rPr>
        <w:t>0%，难占20%。</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必须注意试题的难易程度与能力层次有一定的联系，但两者不是等同的概念，在各个能力层次都有不同难度的试题。</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6.各种题型的具体样式参见本大纲附录。</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color w:val="FF0000"/>
          <w:sz w:val="21"/>
          <w:szCs w:val="21"/>
        </w:rPr>
      </w:pPr>
    </w:p>
    <w:p>
      <w:pPr>
        <w:pStyle w:val="14"/>
        <w:keepNext w:val="0"/>
        <w:keepLines w:val="0"/>
        <w:pageBreakBefore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bCs/>
          <w:sz w:val="21"/>
          <w:szCs w:val="21"/>
        </w:rPr>
      </w:pPr>
      <w:r>
        <w:rPr>
          <w:rFonts w:hint="eastAsia" w:ascii="仿宋_GB2312" w:hAnsi="仿宋_GB2312" w:eastAsia="仿宋_GB2312" w:cs="仿宋_GB2312"/>
          <w:b/>
          <w:bCs/>
          <w:sz w:val="21"/>
          <w:szCs w:val="21"/>
        </w:rPr>
        <w:fldChar w:fldCharType="begin"/>
      </w:r>
      <w:r>
        <w:rPr>
          <w:rFonts w:hint="eastAsia" w:ascii="仿宋_GB2312" w:hAnsi="仿宋_GB2312" w:eastAsia="仿宋_GB2312" w:cs="仿宋_GB2312"/>
          <w:b/>
          <w:bCs/>
          <w:sz w:val="21"/>
          <w:szCs w:val="21"/>
        </w:rPr>
        <w:instrText xml:space="preserve"> = 5 \* ROMAN \* MERGEFORMAT </w:instrText>
      </w:r>
      <w:r>
        <w:rPr>
          <w:rFonts w:hint="eastAsia" w:ascii="仿宋_GB2312" w:hAnsi="仿宋_GB2312" w:eastAsia="仿宋_GB2312" w:cs="仿宋_GB2312"/>
          <w:b/>
          <w:bCs/>
          <w:sz w:val="21"/>
          <w:szCs w:val="21"/>
        </w:rPr>
        <w:fldChar w:fldCharType="separate"/>
      </w:r>
      <w:r>
        <w:rPr>
          <w:rFonts w:hint="eastAsia" w:ascii="仿宋_GB2312" w:hAnsi="仿宋_GB2312" w:eastAsia="仿宋_GB2312" w:cs="仿宋_GB2312"/>
          <w:b/>
          <w:bCs/>
          <w:sz w:val="21"/>
          <w:szCs w:val="21"/>
        </w:rPr>
        <w:t>V</w:t>
      </w:r>
      <w:r>
        <w:rPr>
          <w:rFonts w:hint="eastAsia" w:ascii="仿宋_GB2312" w:hAnsi="仿宋_GB2312" w:eastAsia="仿宋_GB2312" w:cs="仿宋_GB2312"/>
          <w:b/>
          <w:bCs/>
          <w:sz w:val="21"/>
          <w:szCs w:val="21"/>
        </w:rPr>
        <w:fldChar w:fldCharType="end"/>
      </w:r>
      <w:r>
        <w:rPr>
          <w:rFonts w:hint="eastAsia" w:ascii="仿宋_GB2312" w:hAnsi="仿宋_GB2312" w:eastAsia="仿宋_GB2312" w:cs="仿宋_GB2312"/>
          <w:b/>
          <w:bCs/>
          <w:sz w:val="21"/>
          <w:szCs w:val="21"/>
        </w:rPr>
        <w:t xml:space="preserve">  题型举例</w:t>
      </w:r>
    </w:p>
    <w:p>
      <w:pPr>
        <w:pStyle w:val="14"/>
        <w:keepNext w:val="0"/>
        <w:keepLines w:val="0"/>
        <w:pageBreakBefore w:val="0"/>
        <w:kinsoku/>
        <w:wordWrap/>
        <w:overflowPunct/>
        <w:topLinePunct w:val="0"/>
        <w:autoSpaceDE/>
        <w:autoSpaceDN/>
        <w:bidi w:val="0"/>
        <w:snapToGrid w:val="0"/>
        <w:spacing w:line="240" w:lineRule="auto"/>
        <w:ind w:right="0" w:rightChars="0"/>
        <w:rPr>
          <w:rFonts w:hint="eastAsia" w:ascii="仿宋_GB2312" w:hAnsi="仿宋_GB2312" w:eastAsia="仿宋_GB2312" w:cs="仿宋_GB2312"/>
          <w:b w:val="0"/>
          <w:bCs w:val="0"/>
          <w:sz w:val="21"/>
          <w:szCs w:val="21"/>
        </w:rPr>
      </w:pPr>
    </w:p>
    <w:p>
      <w:pPr>
        <w:keepNext w:val="0"/>
        <w:keepLines w:val="0"/>
        <w:pageBreakBefore w:val="0"/>
        <w:numPr>
          <w:ilvl w:val="255"/>
          <w:numId w:val="0"/>
        </w:numPr>
        <w:kinsoku/>
        <w:wordWrap/>
        <w:overflowPunct/>
        <w:topLinePunct w:val="0"/>
        <w:autoSpaceDE/>
        <w:autoSpaceDN/>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一、单项选择题（在每小题后的4个备选项中只有一个是符合题目要求的，请将其选出并填写在题后的括号内）</w:t>
      </w:r>
      <w:bookmarkStart w:id="5" w:name="_Hlk130844722"/>
    </w:p>
    <w:bookmarkEnd w:id="5"/>
    <w:p>
      <w:pPr>
        <w:keepNext w:val="0"/>
        <w:keepLines w:val="0"/>
        <w:pageBreakBefore w:val="0"/>
        <w:numPr>
          <w:ilvl w:val="0"/>
          <w:numId w:val="2"/>
        </w:numPr>
        <w:kinsoku/>
        <w:wordWrap/>
        <w:overflowPunct/>
        <w:topLinePunct w:val="0"/>
        <w:autoSpaceDE/>
        <w:autoSpaceDN/>
        <w:bidi w:val="0"/>
        <w:snapToGrid w:val="0"/>
        <w:spacing w:line="240" w:lineRule="auto"/>
        <w:ind w:right="0" w:rightChars="0" w:firstLine="480"/>
        <w:rPr>
          <w:rFonts w:hint="eastAsia" w:ascii="仿宋_GB2312" w:hAnsi="仿宋_GB2312" w:eastAsia="仿宋_GB2312" w:cs="仿宋_GB2312"/>
          <w:b w:val="0"/>
          <w:bCs w:val="0"/>
          <w:sz w:val="21"/>
          <w:szCs w:val="21"/>
        </w:rPr>
      </w:pPr>
      <w:bookmarkStart w:id="6" w:name="_Hlk130844944"/>
      <w:r>
        <w:rPr>
          <w:rFonts w:hint="eastAsia" w:ascii="仿宋_GB2312" w:hAnsi="仿宋_GB2312" w:eastAsia="仿宋_GB2312" w:cs="仿宋_GB2312"/>
          <w:b w:val="0"/>
          <w:bCs w:val="0"/>
          <w:sz w:val="21"/>
          <w:szCs w:val="21"/>
        </w:rPr>
        <w:t>企业安全管理制度的核心是（  ）</w:t>
      </w:r>
    </w:p>
    <w:p>
      <w:pPr>
        <w:keepNext w:val="0"/>
        <w:keepLines w:val="0"/>
        <w:pageBreakBefore w:val="0"/>
        <w:widowControl w:val="0"/>
        <w:numPr>
          <w:ilvl w:val="0"/>
          <w:numId w:val="0"/>
        </w:numPr>
        <w:tabs>
          <w:tab w:val="left" w:pos="312"/>
        </w:tabs>
        <w:kinsoku/>
        <w:wordWrap/>
        <w:overflowPunct/>
        <w:topLinePunct w:val="0"/>
        <w:autoSpaceDE/>
        <w:autoSpaceDN/>
        <w:bidi w:val="0"/>
        <w:snapToGrid w:val="0"/>
        <w:spacing w:line="240" w:lineRule="auto"/>
        <w:ind w:right="0" w:rightChars="0" w:firstLine="630" w:firstLineChars="3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A.安全生产教育制度</w:t>
      </w:r>
      <w:r>
        <w:rPr>
          <w:rFonts w:hint="eastAsia" w:ascii="仿宋_GB2312" w:hAnsi="仿宋_GB2312" w:eastAsia="仿宋_GB2312" w:cs="仿宋_GB2312"/>
          <w:b w:val="0"/>
          <w:bCs w:val="0"/>
          <w:sz w:val="21"/>
          <w:szCs w:val="21"/>
          <w:lang w:val="en-US" w:eastAsia="zh-CN"/>
        </w:rPr>
        <w:t xml:space="preserve">   </w:t>
      </w:r>
      <w:r>
        <w:rPr>
          <w:rFonts w:hint="eastAsia" w:ascii="仿宋_GB2312" w:hAnsi="仿宋_GB2312" w:eastAsia="仿宋_GB2312" w:cs="仿宋_GB2312"/>
          <w:b w:val="0"/>
          <w:bCs w:val="0"/>
          <w:sz w:val="21"/>
          <w:szCs w:val="21"/>
        </w:rPr>
        <w:t>B.伤亡事故调查处理制度</w:t>
      </w:r>
    </w:p>
    <w:p>
      <w:pPr>
        <w:keepNext w:val="0"/>
        <w:keepLines w:val="0"/>
        <w:pageBreakBefore w:val="0"/>
        <w:widowControl w:val="0"/>
        <w:numPr>
          <w:ilvl w:val="0"/>
          <w:numId w:val="0"/>
        </w:numPr>
        <w:tabs>
          <w:tab w:val="left" w:pos="312"/>
        </w:tabs>
        <w:kinsoku/>
        <w:wordWrap/>
        <w:overflowPunct/>
        <w:topLinePunct w:val="0"/>
        <w:autoSpaceDE/>
        <w:autoSpaceDN/>
        <w:bidi w:val="0"/>
        <w:snapToGrid w:val="0"/>
        <w:spacing w:line="240" w:lineRule="auto"/>
        <w:ind w:right="0" w:rightChars="0" w:firstLine="630" w:firstLineChars="300"/>
        <w:jc w:val="both"/>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C.安全生产责任制度</w:t>
      </w:r>
      <w:r>
        <w:rPr>
          <w:rFonts w:hint="eastAsia" w:ascii="仿宋_GB2312" w:hAnsi="仿宋_GB2312" w:eastAsia="仿宋_GB2312" w:cs="仿宋_GB2312"/>
          <w:b w:val="0"/>
          <w:bCs w:val="0"/>
          <w:sz w:val="21"/>
          <w:szCs w:val="21"/>
          <w:lang w:val="en-US" w:eastAsia="zh-CN"/>
        </w:rPr>
        <w:t xml:space="preserve">   </w:t>
      </w:r>
      <w:r>
        <w:rPr>
          <w:rFonts w:hint="eastAsia" w:ascii="仿宋_GB2312" w:hAnsi="仿宋_GB2312" w:eastAsia="仿宋_GB2312" w:cs="仿宋_GB2312"/>
          <w:b w:val="0"/>
          <w:bCs w:val="0"/>
          <w:sz w:val="21"/>
          <w:szCs w:val="21"/>
        </w:rPr>
        <w:t>D.安全技术措施计划</w:t>
      </w:r>
    </w:p>
    <w:bookmarkEnd w:id="6"/>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二、名词解释题</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1.安全评价</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三、简答题</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1.交通运输安全系统管理的特点</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四、计算题</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1.若车辆从路段L</w:t>
      </w:r>
      <w:r>
        <w:rPr>
          <w:rFonts w:hint="eastAsia" w:ascii="仿宋_GB2312" w:hAnsi="仿宋_GB2312" w:eastAsia="仿宋_GB2312" w:cs="仿宋_GB2312"/>
          <w:b w:val="0"/>
          <w:bCs w:val="0"/>
          <w:sz w:val="21"/>
          <w:szCs w:val="21"/>
          <w:vertAlign w:val="subscript"/>
        </w:rPr>
        <w:t>1</w:t>
      </w:r>
      <w:r>
        <w:rPr>
          <w:rFonts w:hint="eastAsia" w:ascii="仿宋_GB2312" w:hAnsi="仿宋_GB2312" w:eastAsia="仿宋_GB2312" w:cs="仿宋_GB2312"/>
          <w:b w:val="0"/>
          <w:bCs w:val="0"/>
          <w:sz w:val="21"/>
          <w:szCs w:val="21"/>
        </w:rPr>
        <w:t>驶入路段L</w:t>
      </w:r>
      <w:r>
        <w:rPr>
          <w:rFonts w:hint="eastAsia" w:ascii="仿宋_GB2312" w:hAnsi="仿宋_GB2312" w:eastAsia="仿宋_GB2312" w:cs="仿宋_GB2312"/>
          <w:b w:val="0"/>
          <w:bCs w:val="0"/>
          <w:sz w:val="21"/>
          <w:szCs w:val="21"/>
          <w:vertAlign w:val="subscript"/>
        </w:rPr>
        <w:t>2</w:t>
      </w:r>
      <w:r>
        <w:rPr>
          <w:rFonts w:hint="eastAsia" w:ascii="仿宋_GB2312" w:hAnsi="仿宋_GB2312" w:eastAsia="仿宋_GB2312" w:cs="仿宋_GB2312"/>
          <w:b w:val="0"/>
          <w:bCs w:val="0"/>
          <w:sz w:val="21"/>
          <w:szCs w:val="21"/>
        </w:rPr>
        <w:t>，路段L</w:t>
      </w:r>
      <w:r>
        <w:rPr>
          <w:rFonts w:hint="eastAsia" w:ascii="仿宋_GB2312" w:hAnsi="仿宋_GB2312" w:eastAsia="仿宋_GB2312" w:cs="仿宋_GB2312"/>
          <w:b w:val="0"/>
          <w:bCs w:val="0"/>
          <w:sz w:val="21"/>
          <w:szCs w:val="21"/>
          <w:vertAlign w:val="subscript"/>
        </w:rPr>
        <w:t>1</w:t>
      </w:r>
      <w:r>
        <w:rPr>
          <w:rFonts w:hint="eastAsia" w:ascii="仿宋_GB2312" w:hAnsi="仿宋_GB2312" w:eastAsia="仿宋_GB2312" w:cs="仿宋_GB2312"/>
          <w:b w:val="0"/>
          <w:bCs w:val="0"/>
          <w:sz w:val="21"/>
          <w:szCs w:val="21"/>
        </w:rPr>
        <w:t>上能保证的正常车速为50km/h，路段L</w:t>
      </w:r>
      <w:r>
        <w:rPr>
          <w:rFonts w:hint="eastAsia" w:ascii="仿宋_GB2312" w:hAnsi="仿宋_GB2312" w:eastAsia="仿宋_GB2312" w:cs="仿宋_GB2312"/>
          <w:b w:val="0"/>
          <w:bCs w:val="0"/>
          <w:sz w:val="21"/>
          <w:szCs w:val="21"/>
          <w:vertAlign w:val="subscript"/>
        </w:rPr>
        <w:t>2</w:t>
      </w:r>
      <w:r>
        <w:rPr>
          <w:rFonts w:hint="eastAsia" w:ascii="仿宋_GB2312" w:hAnsi="仿宋_GB2312" w:eastAsia="仿宋_GB2312" w:cs="仿宋_GB2312"/>
          <w:b w:val="0"/>
          <w:bCs w:val="0"/>
          <w:sz w:val="21"/>
          <w:szCs w:val="21"/>
        </w:rPr>
        <w:t>上能保证的正常车速为20m/s，请根据速度比判断法确定L</w:t>
      </w:r>
      <w:r>
        <w:rPr>
          <w:rFonts w:hint="eastAsia" w:ascii="仿宋_GB2312" w:hAnsi="仿宋_GB2312" w:eastAsia="仿宋_GB2312" w:cs="仿宋_GB2312"/>
          <w:b w:val="0"/>
          <w:bCs w:val="0"/>
          <w:sz w:val="21"/>
          <w:szCs w:val="21"/>
          <w:vertAlign w:val="subscript"/>
        </w:rPr>
        <w:t>2</w:t>
      </w:r>
      <w:r>
        <w:rPr>
          <w:rFonts w:hint="eastAsia" w:ascii="仿宋_GB2312" w:hAnsi="仿宋_GB2312" w:eastAsia="仿宋_GB2312" w:cs="仿宋_GB2312"/>
          <w:b w:val="0"/>
          <w:bCs w:val="0"/>
          <w:sz w:val="21"/>
          <w:szCs w:val="21"/>
        </w:rPr>
        <w:t>的安全等级。</w:t>
      </w:r>
    </w:p>
    <w:p>
      <w:pPr>
        <w:keepNext w:val="0"/>
        <w:keepLines w:val="0"/>
        <w:pageBreakBefore w:val="0"/>
        <w:kinsoku/>
        <w:wordWrap/>
        <w:overflowPunct/>
        <w:topLinePunct w:val="0"/>
        <w:autoSpaceDE/>
        <w:autoSpaceDN/>
        <w:bidi w:val="0"/>
        <w:snapToGrid w:val="0"/>
        <w:spacing w:line="240" w:lineRule="auto"/>
        <w:ind w:right="0" w:rightChars="0" w:firstLine="420" w:firstLineChars="200"/>
        <w:outlineLvl w:val="1"/>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五、论述题</w:t>
      </w:r>
    </w:p>
    <w:p>
      <w:pPr>
        <w:keepNext w:val="0"/>
        <w:keepLines w:val="0"/>
        <w:pageBreakBefore w:val="0"/>
        <w:kinsoku/>
        <w:wordWrap/>
        <w:overflowPunct/>
        <w:topLinePunct w:val="0"/>
        <w:autoSpaceDE/>
        <w:autoSpaceDN/>
        <w:bidi w:val="0"/>
        <w:snapToGrid w:val="0"/>
        <w:spacing w:line="240" w:lineRule="auto"/>
        <w:ind w:right="0" w:rightChars="0" w:firstLine="420" w:firstLineChars="200"/>
        <w:rPr>
          <w:rFonts w:hint="eastAsia" w:ascii="仿宋_GB2312" w:hAnsi="仿宋_GB2312" w:eastAsia="仿宋_GB2312" w:cs="仿宋_GB2312"/>
          <w:b w:val="0"/>
          <w:bCs w:val="0"/>
          <w:sz w:val="21"/>
          <w:szCs w:val="21"/>
        </w:rPr>
      </w:pPr>
      <w:r>
        <w:rPr>
          <w:rFonts w:hint="eastAsia" w:ascii="仿宋_GB2312" w:hAnsi="仿宋_GB2312" w:eastAsia="仿宋_GB2312" w:cs="仿宋_GB2312"/>
          <w:b w:val="0"/>
          <w:bCs w:val="0"/>
          <w:sz w:val="21"/>
          <w:szCs w:val="21"/>
        </w:rPr>
        <w:t>1.以城市道路交通为例说明3E准则。</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6FF" w:usb1="420024FF" w:usb2="02000000" w:usb3="00000000" w:csb0="2000019F"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00"/>
    <w:family w:val="swiss"/>
    <w:pitch w:val="default"/>
    <w:sig w:usb0="E4002EFF" w:usb1="C200247B" w:usb2="00000009" w:usb3="00000000" w:csb0="200001FF" w:csb1="00000000"/>
  </w:font>
  <w:font w:name="Arial Unicode MS">
    <w:altName w:val="宋体"/>
    <w:panose1 w:val="020B0604020202020204"/>
    <w:charset w:val="86"/>
    <w:family w:val="swiss"/>
    <w:pitch w:val="default"/>
    <w:sig w:usb0="00000000" w:usb1="00000000" w:usb2="0000003F" w:usb3="00000000" w:csb0="603F01FF" w:csb1="FFFF0000"/>
  </w:font>
  <w:font w:name="等线">
    <w:panose1 w:val="02010600030101010101"/>
    <w:charset w:val="86"/>
    <w:family w:val="auto"/>
    <w:pitch w:val="default"/>
    <w:sig w:usb0="A00002BF" w:usb1="38CF7CFA" w:usb2="00000016" w:usb3="00000000" w:csb0="0004000F" w:csb1="00000000"/>
  </w:font>
  <w:font w:name="Microsoft JhengHei">
    <w:panose1 w:val="020B0604030504040204"/>
    <w:charset w:val="88"/>
    <w:family w:val="swiss"/>
    <w:pitch w:val="default"/>
    <w:sig w:usb0="000002A7" w:usb1="28CF4400" w:usb2="00000016" w:usb3="00000000" w:csb0="00100009" w:csb1="00000000"/>
  </w:font>
  <w:font w:name="仿宋_GB2312">
    <w:panose1 w:val="02010609030101010101"/>
    <w:charset w:val="86"/>
    <w:family w:val="modern"/>
    <w:pitch w:val="default"/>
    <w:sig w:usb0="00000001" w:usb1="080E0000" w:usb2="00000000" w:usb3="00000000" w:csb0="00040000" w:csb1="00000000"/>
  </w:font>
  <w:font w:name="Courier New">
    <w:panose1 w:val="02070309020205020404"/>
    <w:charset w:val="00"/>
    <w:family w:val="modern"/>
    <w:pitch w:val="default"/>
    <w:sig w:usb0="E0002EFF" w:usb1="C0007843" w:usb2="00000009" w:usb3="00000000" w:csb0="400001FF" w:csb1="FFFF0000"/>
  </w:font>
  <w:font w:name="Arial Unicode MS">
    <w:altName w:val="Arial"/>
    <w:panose1 w:val="020B0604020202020204"/>
    <w:charset w:val="00"/>
    <w:family w:val="roman"/>
    <w:pitch w:val="default"/>
    <w:sig w:usb0="00000000" w:usb1="00000000" w:usb2="00000000" w:usb3="00000000" w:csb0="00000001" w:csb1="00000000"/>
  </w:font>
  <w:font w:name="Arial Unicode MS">
    <w:altName w:val="Arial"/>
    <w:panose1 w:val="020B0604020202020204"/>
    <w:charset w:val="80"/>
    <w:family w:val="swiss"/>
    <w:pitch w:val="default"/>
    <w:sig w:usb0="00000000" w:usb1="00000000" w:usb2="0000003F" w:usb3="00000000" w:csb0="603F01FF" w:csb1="FFFF0000"/>
  </w:font>
  <w:font w:name="等线 Light">
    <w:panose1 w:val="02010600030101010101"/>
    <w:charset w:val="86"/>
    <w:family w:val="auto"/>
    <w:pitch w:val="default"/>
    <w:sig w:usb0="A00002BF" w:usb1="38CF7CFA" w:usb2="00000016" w:usb3="00000000" w:csb0="0004000F" w:csb1="00000000"/>
  </w:font>
  <w:font w:name="楷体_GB2312">
    <w:altName w:val="楷体"/>
    <w:panose1 w:val="020B0604020202020204"/>
    <w:charset w:val="86"/>
    <w:family w:val="modern"/>
    <w:pitch w:val="default"/>
    <w:sig w:usb0="00000000" w:usb1="00000000" w:usb2="00000010" w:usb3="00000000" w:csb0="00040001" w:csb1="00000000"/>
  </w:font>
  <w:font w:name="Arial">
    <w:panose1 w:val="020B0604020202020204"/>
    <w:charset w:val="00"/>
    <w:family w:val="swiss"/>
    <w:pitch w:val="default"/>
    <w:sig w:usb0="E0002EFF" w:usb1="C000785B" w:usb2="00000009" w:usb3="00000000" w:csb0="400001FF" w:csb1="FFFF0000"/>
  </w:font>
  <w:font w:name="楷体">
    <w:panose1 w:val="02010609060101010101"/>
    <w:charset w:val="86"/>
    <w:family w:val="auto"/>
    <w:pitch w:val="default"/>
    <w:sig w:usb0="800002BF" w:usb1="38CF7CFA" w:usb2="00000016" w:usb3="00000000" w:csb0="00040001" w:csb1="00000000"/>
  </w:font>
  <w:font w:name="Arial">
    <w:panose1 w:val="020B0604020202020204"/>
    <w:charset w:val="80"/>
    <w:family w:val="swiss"/>
    <w:pitch w:val="default"/>
    <w:sig w:usb0="E0002EFF" w:usb1="C000785B" w:usb2="00000009" w:usb3="00000000" w:csb0="400001FF" w:csb1="FFFF0000"/>
  </w:font>
  <w:font w:name="方正小标宋简体">
    <w:panose1 w:val="02010601030101010101"/>
    <w:charset w:val="86"/>
    <w:family w:val="auto"/>
    <w:pitch w:val="default"/>
    <w:sig w:usb0="00000001" w:usb1="080E0000" w:usb2="00000000" w:usb3="00000000" w:csb0="00040000" w:csb1="00000000"/>
  </w:font>
  <w:font w:name="楷体_GB2312">
    <w:altName w:val="楷体"/>
    <w:panose1 w:val="00000000000000000000"/>
    <w:charset w:val="00"/>
    <w:family w:val="auto"/>
    <w:pitch w:val="default"/>
    <w:sig w:usb0="00000000" w:usb1="00000000" w:usb2="00000000" w:usb3="00000000" w:csb0="00000000" w:csb1="00000000"/>
  </w:font>
  <w:font w:name="Helvetica">
    <w:altName w:val="Arial"/>
    <w:panose1 w:val="020B0604020202020204"/>
    <w:charset w:val="00"/>
    <w:family w:val="swiss"/>
    <w:pitch w:val="default"/>
    <w:sig w:usb0="00000000" w:usb1="00000000" w:usb2="00000009" w:usb3="00000000" w:csb0="0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544149"/>
    <w:multiLevelType w:val="singleLevel"/>
    <w:tmpl w:val="39544149"/>
    <w:lvl w:ilvl="0" w:tentative="0">
      <w:start w:val="1"/>
      <w:numFmt w:val="chineseCounting"/>
      <w:pStyle w:val="19"/>
      <w:suff w:val="space"/>
      <w:lvlText w:val="第%1章"/>
      <w:lvlJc w:val="left"/>
      <w:rPr>
        <w:rFonts w:hint="eastAsia"/>
      </w:rPr>
    </w:lvl>
  </w:abstractNum>
  <w:abstractNum w:abstractNumId="1">
    <w:nsid w:val="4C7556F9"/>
    <w:multiLevelType w:val="singleLevel"/>
    <w:tmpl w:val="4C7556F9"/>
    <w:lvl w:ilvl="0" w:tentative="0">
      <w:start w:val="1"/>
      <w:numFmt w:val="decimal"/>
      <w:lvlText w:val="%1."/>
      <w:lvlJc w:val="left"/>
      <w:pPr>
        <w:tabs>
          <w:tab w:val="left" w:pos="312"/>
        </w:tabs>
      </w:pPr>
      <w:rPr>
        <w:rFonts w:hint="default"/>
        <w:color w:val="auto"/>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jY2MjE4NTMzMDI4MzZjNDk4ZDY5NWE0MmU5ZTYyZDEifQ=="/>
  </w:docVars>
  <w:rsids>
    <w:rsidRoot w:val="00BD655E"/>
    <w:rsid w:val="00002549"/>
    <w:rsid w:val="00004A82"/>
    <w:rsid w:val="000071B7"/>
    <w:rsid w:val="00016CB2"/>
    <w:rsid w:val="000353DF"/>
    <w:rsid w:val="00036432"/>
    <w:rsid w:val="000424C5"/>
    <w:rsid w:val="000510AB"/>
    <w:rsid w:val="00071D92"/>
    <w:rsid w:val="00082268"/>
    <w:rsid w:val="000875F0"/>
    <w:rsid w:val="000A1C7F"/>
    <w:rsid w:val="000A20A1"/>
    <w:rsid w:val="000C44CA"/>
    <w:rsid w:val="000D2EF9"/>
    <w:rsid w:val="000D645A"/>
    <w:rsid w:val="000E167D"/>
    <w:rsid w:val="000E1E38"/>
    <w:rsid w:val="00103A4C"/>
    <w:rsid w:val="001123AC"/>
    <w:rsid w:val="00113891"/>
    <w:rsid w:val="001175DA"/>
    <w:rsid w:val="00136ED3"/>
    <w:rsid w:val="00150CA4"/>
    <w:rsid w:val="00155404"/>
    <w:rsid w:val="00156843"/>
    <w:rsid w:val="001A7A10"/>
    <w:rsid w:val="001B3300"/>
    <w:rsid w:val="001D1545"/>
    <w:rsid w:val="001D6DD2"/>
    <w:rsid w:val="001E0E98"/>
    <w:rsid w:val="001E6B01"/>
    <w:rsid w:val="002059FE"/>
    <w:rsid w:val="00207E06"/>
    <w:rsid w:val="00232722"/>
    <w:rsid w:val="00240027"/>
    <w:rsid w:val="00277846"/>
    <w:rsid w:val="00290252"/>
    <w:rsid w:val="002A759A"/>
    <w:rsid w:val="002B060E"/>
    <w:rsid w:val="002B55B0"/>
    <w:rsid w:val="002D02AE"/>
    <w:rsid w:val="002E7C71"/>
    <w:rsid w:val="002F00C1"/>
    <w:rsid w:val="00300333"/>
    <w:rsid w:val="00312BBC"/>
    <w:rsid w:val="00325C6C"/>
    <w:rsid w:val="00335E1C"/>
    <w:rsid w:val="003430CD"/>
    <w:rsid w:val="003A6508"/>
    <w:rsid w:val="003B11B1"/>
    <w:rsid w:val="003B1FCA"/>
    <w:rsid w:val="003C5747"/>
    <w:rsid w:val="003D4230"/>
    <w:rsid w:val="003E60CF"/>
    <w:rsid w:val="003E74CE"/>
    <w:rsid w:val="003F144B"/>
    <w:rsid w:val="00422A08"/>
    <w:rsid w:val="00423BBB"/>
    <w:rsid w:val="004300FB"/>
    <w:rsid w:val="004334B3"/>
    <w:rsid w:val="004349B6"/>
    <w:rsid w:val="00462C6C"/>
    <w:rsid w:val="004C1220"/>
    <w:rsid w:val="004C44C3"/>
    <w:rsid w:val="00511CA9"/>
    <w:rsid w:val="005134E9"/>
    <w:rsid w:val="00513C0F"/>
    <w:rsid w:val="005202A7"/>
    <w:rsid w:val="00524776"/>
    <w:rsid w:val="0052496C"/>
    <w:rsid w:val="00535039"/>
    <w:rsid w:val="00566269"/>
    <w:rsid w:val="00570AED"/>
    <w:rsid w:val="00582B24"/>
    <w:rsid w:val="005A0EB5"/>
    <w:rsid w:val="005D54CE"/>
    <w:rsid w:val="005E64AB"/>
    <w:rsid w:val="005F379D"/>
    <w:rsid w:val="00602CA2"/>
    <w:rsid w:val="00603DA2"/>
    <w:rsid w:val="00620156"/>
    <w:rsid w:val="00626407"/>
    <w:rsid w:val="00633F2A"/>
    <w:rsid w:val="00650A95"/>
    <w:rsid w:val="0069261A"/>
    <w:rsid w:val="006D4ABE"/>
    <w:rsid w:val="006D5B8E"/>
    <w:rsid w:val="006D7D3E"/>
    <w:rsid w:val="006F72E4"/>
    <w:rsid w:val="00713142"/>
    <w:rsid w:val="007235B4"/>
    <w:rsid w:val="00746E9C"/>
    <w:rsid w:val="00750BFF"/>
    <w:rsid w:val="00786A0E"/>
    <w:rsid w:val="007E465F"/>
    <w:rsid w:val="00803EB5"/>
    <w:rsid w:val="00805C41"/>
    <w:rsid w:val="00805D57"/>
    <w:rsid w:val="00867342"/>
    <w:rsid w:val="008B07F7"/>
    <w:rsid w:val="008B32CA"/>
    <w:rsid w:val="008F3407"/>
    <w:rsid w:val="00911895"/>
    <w:rsid w:val="0095042D"/>
    <w:rsid w:val="009570C8"/>
    <w:rsid w:val="00957A14"/>
    <w:rsid w:val="00972D98"/>
    <w:rsid w:val="009850EB"/>
    <w:rsid w:val="00994774"/>
    <w:rsid w:val="00996947"/>
    <w:rsid w:val="009A3073"/>
    <w:rsid w:val="009A4DA6"/>
    <w:rsid w:val="009B2A29"/>
    <w:rsid w:val="009D027F"/>
    <w:rsid w:val="009F7AC0"/>
    <w:rsid w:val="00A02251"/>
    <w:rsid w:val="00A06C4E"/>
    <w:rsid w:val="00A120D1"/>
    <w:rsid w:val="00A16114"/>
    <w:rsid w:val="00A30B94"/>
    <w:rsid w:val="00A5106E"/>
    <w:rsid w:val="00A63EE9"/>
    <w:rsid w:val="00A67C1B"/>
    <w:rsid w:val="00A7543E"/>
    <w:rsid w:val="00AA2288"/>
    <w:rsid w:val="00AA6EC5"/>
    <w:rsid w:val="00AB451A"/>
    <w:rsid w:val="00AB6A6A"/>
    <w:rsid w:val="00AF3EE0"/>
    <w:rsid w:val="00B2233F"/>
    <w:rsid w:val="00B40A5E"/>
    <w:rsid w:val="00B42F17"/>
    <w:rsid w:val="00B76839"/>
    <w:rsid w:val="00B96C61"/>
    <w:rsid w:val="00BB0FEC"/>
    <w:rsid w:val="00BD655E"/>
    <w:rsid w:val="00BD7E2C"/>
    <w:rsid w:val="00C03309"/>
    <w:rsid w:val="00C12549"/>
    <w:rsid w:val="00C13574"/>
    <w:rsid w:val="00C24F48"/>
    <w:rsid w:val="00C261F7"/>
    <w:rsid w:val="00C63AA4"/>
    <w:rsid w:val="00C70BBB"/>
    <w:rsid w:val="00C73518"/>
    <w:rsid w:val="00C81F22"/>
    <w:rsid w:val="00C8783F"/>
    <w:rsid w:val="00C9278A"/>
    <w:rsid w:val="00CA2F23"/>
    <w:rsid w:val="00CB5D99"/>
    <w:rsid w:val="00D0102F"/>
    <w:rsid w:val="00D0109A"/>
    <w:rsid w:val="00D0381C"/>
    <w:rsid w:val="00D13925"/>
    <w:rsid w:val="00D13B85"/>
    <w:rsid w:val="00D17BF4"/>
    <w:rsid w:val="00D263C9"/>
    <w:rsid w:val="00D406A7"/>
    <w:rsid w:val="00D855D6"/>
    <w:rsid w:val="00DA6F41"/>
    <w:rsid w:val="00DD7CFD"/>
    <w:rsid w:val="00DF6BD6"/>
    <w:rsid w:val="00E3232C"/>
    <w:rsid w:val="00E54949"/>
    <w:rsid w:val="00E7169D"/>
    <w:rsid w:val="00E9416C"/>
    <w:rsid w:val="00E95830"/>
    <w:rsid w:val="00E958B2"/>
    <w:rsid w:val="00E97783"/>
    <w:rsid w:val="00EB02BE"/>
    <w:rsid w:val="00EB1BEA"/>
    <w:rsid w:val="00EF504B"/>
    <w:rsid w:val="00F042E0"/>
    <w:rsid w:val="00F13675"/>
    <w:rsid w:val="00F13FAE"/>
    <w:rsid w:val="00F208CD"/>
    <w:rsid w:val="00F24BB1"/>
    <w:rsid w:val="00F35C59"/>
    <w:rsid w:val="00F36A9F"/>
    <w:rsid w:val="00F71CC2"/>
    <w:rsid w:val="00F76976"/>
    <w:rsid w:val="00F80FCB"/>
    <w:rsid w:val="00FA2A4A"/>
    <w:rsid w:val="00FB32A7"/>
    <w:rsid w:val="00FB4566"/>
    <w:rsid w:val="00FC0AA7"/>
    <w:rsid w:val="00FD5985"/>
    <w:rsid w:val="00FD6695"/>
    <w:rsid w:val="00FE6858"/>
    <w:rsid w:val="00FE68A6"/>
    <w:rsid w:val="03577DA5"/>
    <w:rsid w:val="038C5905"/>
    <w:rsid w:val="06712BB6"/>
    <w:rsid w:val="0884385E"/>
    <w:rsid w:val="0B204BAA"/>
    <w:rsid w:val="0EEA0F7D"/>
    <w:rsid w:val="0F7F662F"/>
    <w:rsid w:val="0F957915"/>
    <w:rsid w:val="0FCD5301"/>
    <w:rsid w:val="11DC1FAC"/>
    <w:rsid w:val="132C164E"/>
    <w:rsid w:val="17CF5E67"/>
    <w:rsid w:val="19876DE5"/>
    <w:rsid w:val="1B2E6E70"/>
    <w:rsid w:val="1D7E5E8C"/>
    <w:rsid w:val="1E0250BA"/>
    <w:rsid w:val="1EE7381E"/>
    <w:rsid w:val="1FF031A1"/>
    <w:rsid w:val="2419690F"/>
    <w:rsid w:val="249D3B2A"/>
    <w:rsid w:val="26B40B71"/>
    <w:rsid w:val="275A1718"/>
    <w:rsid w:val="276D0BDB"/>
    <w:rsid w:val="290C6955"/>
    <w:rsid w:val="2A81685A"/>
    <w:rsid w:val="2B055CB5"/>
    <w:rsid w:val="2B6F5509"/>
    <w:rsid w:val="2BD30AF4"/>
    <w:rsid w:val="2F827A5E"/>
    <w:rsid w:val="3159738D"/>
    <w:rsid w:val="354A647F"/>
    <w:rsid w:val="35555B77"/>
    <w:rsid w:val="382A0C93"/>
    <w:rsid w:val="3EEB0A50"/>
    <w:rsid w:val="3FC13DB7"/>
    <w:rsid w:val="4093314D"/>
    <w:rsid w:val="41C9151C"/>
    <w:rsid w:val="433B106E"/>
    <w:rsid w:val="43B53622"/>
    <w:rsid w:val="46DC65AB"/>
    <w:rsid w:val="484120C8"/>
    <w:rsid w:val="49261002"/>
    <w:rsid w:val="508605D9"/>
    <w:rsid w:val="52CD24EF"/>
    <w:rsid w:val="579B14B0"/>
    <w:rsid w:val="581A550C"/>
    <w:rsid w:val="5E2A1AE6"/>
    <w:rsid w:val="5F9C5723"/>
    <w:rsid w:val="73E3415D"/>
    <w:rsid w:val="774F3472"/>
    <w:rsid w:val="79453314"/>
    <w:rsid w:val="7D257E1F"/>
    <w:rsid w:val="7E417769"/>
    <w:rsid w:val="7F78540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link w:val="17"/>
    <w:unhideWhenUsed/>
    <w:qFormat/>
    <w:uiPriority w:val="0"/>
    <w:pPr>
      <w:keepNext/>
      <w:keepLines/>
      <w:spacing w:before="260" w:after="260" w:line="415" w:lineRule="auto"/>
      <w:outlineLvl w:val="1"/>
    </w:pPr>
    <w:rPr>
      <w:rFonts w:asciiTheme="majorHAnsi" w:hAnsiTheme="majorHAnsi" w:eastAsiaTheme="majorEastAsia" w:cstheme="majorBidi"/>
      <w:b/>
      <w:bCs/>
      <w:sz w:val="32"/>
      <w:szCs w:val="32"/>
    </w:rPr>
  </w:style>
  <w:style w:type="character" w:default="1" w:styleId="8">
    <w:name w:val="Default Paragraph Font"/>
    <w:unhideWhenUsed/>
    <w:qFormat/>
    <w:uiPriority w:val="1"/>
  </w:style>
  <w:style w:type="table" w:default="1" w:styleId="10">
    <w:name w:val="Normal Table"/>
    <w:unhideWhenUsed/>
    <w:qFormat/>
    <w:uiPriority w:val="99"/>
    <w:tblPr>
      <w:tblLayout w:type="fixed"/>
      <w:tblCellMar>
        <w:top w:w="0" w:type="dxa"/>
        <w:left w:w="108" w:type="dxa"/>
        <w:bottom w:w="0" w:type="dxa"/>
        <w:right w:w="108" w:type="dxa"/>
      </w:tblCellMar>
    </w:tblPr>
  </w:style>
  <w:style w:type="paragraph" w:styleId="3">
    <w:name w:val="annotation text"/>
    <w:basedOn w:val="1"/>
    <w:qFormat/>
    <w:uiPriority w:val="0"/>
    <w:pPr>
      <w:jc w:val="left"/>
    </w:pPr>
  </w:style>
  <w:style w:type="paragraph" w:styleId="4">
    <w:name w:val="Body Text Indent"/>
    <w:basedOn w:val="1"/>
    <w:qFormat/>
    <w:uiPriority w:val="0"/>
    <w:pPr>
      <w:spacing w:after="120"/>
      <w:ind w:left="420" w:leftChars="200"/>
    </w:pPr>
  </w:style>
  <w:style w:type="paragraph" w:styleId="5">
    <w:name w:val="footer"/>
    <w:basedOn w:val="1"/>
    <w:link w:val="13"/>
    <w:qFormat/>
    <w:uiPriority w:val="0"/>
    <w:pPr>
      <w:tabs>
        <w:tab w:val="center" w:pos="4153"/>
        <w:tab w:val="right" w:pos="8306"/>
      </w:tabs>
      <w:snapToGrid w:val="0"/>
      <w:jc w:val="left"/>
    </w:pPr>
    <w:rPr>
      <w:sz w:val="18"/>
      <w:szCs w:val="18"/>
    </w:rPr>
  </w:style>
  <w:style w:type="paragraph" w:styleId="6">
    <w:name w:val="header"/>
    <w:basedOn w:val="1"/>
    <w:link w:val="12"/>
    <w:qFormat/>
    <w:uiPriority w:val="0"/>
    <w:pPr>
      <w:tabs>
        <w:tab w:val="center" w:pos="4153"/>
        <w:tab w:val="right" w:pos="8306"/>
      </w:tabs>
      <w:snapToGrid w:val="0"/>
      <w:jc w:val="center"/>
    </w:pPr>
    <w:rPr>
      <w:sz w:val="18"/>
      <w:szCs w:val="18"/>
    </w:rPr>
  </w:style>
  <w:style w:type="paragraph" w:styleId="7">
    <w:name w:val="Normal (Web)"/>
    <w:basedOn w:val="1"/>
    <w:qFormat/>
    <w:uiPriority w:val="99"/>
    <w:pPr>
      <w:widowControl/>
      <w:spacing w:before="100" w:beforeAutospacing="1" w:after="100" w:afterAutospacing="1"/>
      <w:jc w:val="left"/>
    </w:pPr>
    <w:rPr>
      <w:rFonts w:ascii="Arial Unicode MS" w:hAnsi="Arial Unicode MS" w:eastAsia="Arial Unicode MS" w:cs="Arial Unicode MS"/>
      <w:color w:val="000000"/>
      <w:kern w:val="0"/>
      <w:sz w:val="24"/>
    </w:rPr>
  </w:style>
  <w:style w:type="character" w:styleId="9">
    <w:name w:val="annotation reference"/>
    <w:basedOn w:val="8"/>
    <w:qFormat/>
    <w:uiPriority w:val="0"/>
    <w:rPr>
      <w:sz w:val="21"/>
      <w:szCs w:val="21"/>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customStyle="1" w:styleId="12">
    <w:name w:val="页眉 字符"/>
    <w:basedOn w:val="8"/>
    <w:link w:val="6"/>
    <w:qFormat/>
    <w:uiPriority w:val="0"/>
    <w:rPr>
      <w:rFonts w:ascii="Times New Roman" w:hAnsi="Times New Roman" w:eastAsia="宋体" w:cs="Times New Roman"/>
      <w:kern w:val="2"/>
      <w:sz w:val="18"/>
      <w:szCs w:val="18"/>
    </w:rPr>
  </w:style>
  <w:style w:type="character" w:customStyle="1" w:styleId="13">
    <w:name w:val="页脚 字符"/>
    <w:basedOn w:val="8"/>
    <w:link w:val="5"/>
    <w:qFormat/>
    <w:uiPriority w:val="0"/>
    <w:rPr>
      <w:rFonts w:ascii="Times New Roman" w:hAnsi="Times New Roman" w:eastAsia="宋体" w:cs="Times New Roman"/>
      <w:kern w:val="2"/>
      <w:sz w:val="18"/>
      <w:szCs w:val="18"/>
    </w:rPr>
  </w:style>
  <w:style w:type="paragraph" w:customStyle="1" w:styleId="14">
    <w:name w:val="一级标题！"/>
    <w:basedOn w:val="1"/>
    <w:link w:val="16"/>
    <w:qFormat/>
    <w:uiPriority w:val="0"/>
    <w:pPr>
      <w:spacing w:line="440" w:lineRule="exact"/>
      <w:jc w:val="center"/>
      <w:outlineLvl w:val="0"/>
    </w:pPr>
    <w:rPr>
      <w:rFonts w:ascii="黑体" w:hAnsi="宋体" w:eastAsia="黑体"/>
      <w:b/>
      <w:sz w:val="28"/>
      <w:szCs w:val="32"/>
    </w:rPr>
  </w:style>
  <w:style w:type="paragraph" w:customStyle="1" w:styleId="15">
    <w:name w:val="三级标题3"/>
    <w:basedOn w:val="1"/>
    <w:link w:val="18"/>
    <w:qFormat/>
    <w:uiPriority w:val="0"/>
    <w:pPr>
      <w:spacing w:line="440" w:lineRule="exact"/>
      <w:ind w:firstLine="200" w:firstLineChars="200"/>
      <w:outlineLvl w:val="2"/>
    </w:pPr>
    <w:rPr>
      <w:rFonts w:asciiTheme="minorEastAsia" w:hAnsiTheme="minorEastAsia" w:eastAsiaTheme="minorEastAsia" w:cstheme="minorEastAsia"/>
      <w:b/>
      <w:bCs/>
      <w:sz w:val="28"/>
      <w:szCs w:val="28"/>
    </w:rPr>
  </w:style>
  <w:style w:type="character" w:customStyle="1" w:styleId="16">
    <w:name w:val="一级标题！ 字符"/>
    <w:basedOn w:val="8"/>
    <w:link w:val="14"/>
    <w:qFormat/>
    <w:uiPriority w:val="0"/>
    <w:rPr>
      <w:rFonts w:ascii="黑体" w:hAnsi="宋体" w:eastAsia="黑体" w:cs="Times New Roman"/>
      <w:b/>
      <w:kern w:val="2"/>
      <w:sz w:val="28"/>
      <w:szCs w:val="32"/>
    </w:rPr>
  </w:style>
  <w:style w:type="character" w:customStyle="1" w:styleId="17">
    <w:name w:val="标题 2 字符"/>
    <w:basedOn w:val="8"/>
    <w:link w:val="2"/>
    <w:semiHidden/>
    <w:qFormat/>
    <w:uiPriority w:val="0"/>
    <w:rPr>
      <w:rFonts w:asciiTheme="majorHAnsi" w:hAnsiTheme="majorHAnsi" w:eastAsiaTheme="majorEastAsia" w:cstheme="majorBidi"/>
      <w:b/>
      <w:bCs/>
      <w:kern w:val="2"/>
      <w:sz w:val="32"/>
      <w:szCs w:val="32"/>
    </w:rPr>
  </w:style>
  <w:style w:type="character" w:customStyle="1" w:styleId="18">
    <w:name w:val="三级标题3 字符"/>
    <w:basedOn w:val="8"/>
    <w:link w:val="15"/>
    <w:qFormat/>
    <w:uiPriority w:val="0"/>
    <w:rPr>
      <w:rFonts w:asciiTheme="minorEastAsia" w:hAnsiTheme="minorEastAsia" w:cstheme="minorEastAsia"/>
      <w:b/>
      <w:bCs/>
      <w:kern w:val="2"/>
      <w:sz w:val="28"/>
      <w:szCs w:val="28"/>
    </w:rPr>
  </w:style>
  <w:style w:type="paragraph" w:customStyle="1" w:styleId="19">
    <w:name w:val="二级标题2"/>
    <w:basedOn w:val="1"/>
    <w:link w:val="21"/>
    <w:qFormat/>
    <w:uiPriority w:val="0"/>
    <w:pPr>
      <w:numPr>
        <w:ilvl w:val="0"/>
        <w:numId w:val="1"/>
      </w:numPr>
      <w:spacing w:line="440" w:lineRule="exact"/>
      <w:jc w:val="center"/>
      <w:outlineLvl w:val="1"/>
    </w:pPr>
    <w:rPr>
      <w:rFonts w:asciiTheme="minorEastAsia" w:hAnsiTheme="minorEastAsia" w:eastAsiaTheme="minorEastAsia" w:cstheme="minorEastAsia"/>
      <w:b/>
      <w:bCs/>
      <w:sz w:val="28"/>
      <w:szCs w:val="28"/>
    </w:rPr>
  </w:style>
  <w:style w:type="paragraph" w:customStyle="1" w:styleId="20">
    <w:name w:val="四级标题！"/>
    <w:basedOn w:val="1"/>
    <w:link w:val="23"/>
    <w:qFormat/>
    <w:uiPriority w:val="0"/>
    <w:pPr>
      <w:spacing w:line="440" w:lineRule="exact"/>
      <w:ind w:firstLine="200" w:firstLineChars="200"/>
      <w:outlineLvl w:val="3"/>
    </w:pPr>
    <w:rPr>
      <w:rFonts w:asciiTheme="minorEastAsia" w:hAnsiTheme="minorEastAsia" w:eastAsiaTheme="minorEastAsia" w:cstheme="minorEastAsia"/>
      <w:b/>
      <w:bCs/>
      <w:sz w:val="24"/>
    </w:rPr>
  </w:style>
  <w:style w:type="character" w:customStyle="1" w:styleId="21">
    <w:name w:val="二级标题2 字符"/>
    <w:basedOn w:val="8"/>
    <w:link w:val="19"/>
    <w:qFormat/>
    <w:uiPriority w:val="0"/>
    <w:rPr>
      <w:rFonts w:asciiTheme="minorEastAsia" w:hAnsiTheme="minorEastAsia" w:cstheme="minorEastAsia"/>
      <w:b/>
      <w:bCs/>
      <w:kern w:val="2"/>
      <w:sz w:val="28"/>
      <w:szCs w:val="28"/>
    </w:rPr>
  </w:style>
  <w:style w:type="paragraph" w:customStyle="1" w:styleId="22">
    <w:name w:val="List Paragraph"/>
    <w:basedOn w:val="1"/>
    <w:qFormat/>
    <w:uiPriority w:val="99"/>
    <w:pPr>
      <w:ind w:firstLine="420" w:firstLineChars="200"/>
    </w:pPr>
  </w:style>
  <w:style w:type="character" w:customStyle="1" w:styleId="23">
    <w:name w:val="四级标题！ 字符"/>
    <w:basedOn w:val="8"/>
    <w:link w:val="20"/>
    <w:qFormat/>
    <w:uiPriority w:val="0"/>
    <w:rPr>
      <w:rFonts w:asciiTheme="minorEastAsia" w:hAnsiTheme="minorEastAsia" w:cstheme="minorEastAsia"/>
      <w:b/>
      <w:bCs/>
      <w:kern w:val="2"/>
      <w:sz w:val="24"/>
      <w:szCs w:val="24"/>
    </w:rPr>
  </w:style>
  <w:style w:type="character" w:customStyle="1" w:styleId="24">
    <w:name w:val="Placeholder Text"/>
    <w:basedOn w:val="8"/>
    <w:semiHidden/>
    <w:qFormat/>
    <w:uiPriority w:val="99"/>
    <w:rPr>
      <w:color w:val="808080"/>
    </w:rPr>
  </w:style>
  <w:style w:type="paragraph" w:customStyle="1" w:styleId="25">
    <w:name w:val="Revision"/>
    <w:hidden/>
    <w:semiHidden/>
    <w:qFormat/>
    <w:uiPriority w:val="99"/>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14</Pages>
  <Words>7750</Words>
  <Characters>7882</Characters>
  <Lines>68</Lines>
  <Paragraphs>19</Paragraphs>
  <TotalTime>0</TotalTime>
  <ScaleCrop>false</ScaleCrop>
  <LinksUpToDate>false</LinksUpToDate>
  <CharactersWithSpaces>8087</CharactersWithSpaces>
  <Application>WPS Office_10.8.0.6423_F1E327BC-269C-435d-A152-05C5408002CA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2023-04-07T08:06:00Z</dcterms:created>
  <dc:creator>Administrator</dc:creator>
  <cp:lastModifiedBy>梁磊</cp:lastModifiedBy>
  <dcterms:modified xsi:type="dcterms:W3CDTF">2023-07-09T03:44:05Z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2052-10.8.0.6423</vt:lpwstr>
  </property>
  <property fmtid="{D5CDD505-2E9C-101B-9397-08002B2CF9AE}" pid="3" name="ICV">
    <vt:lpwstr>6C63971D4E2B45D7871BF2C453CB90AA_13</vt:lpwstr>
  </property>
</Properties>
</file>