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《交通规划》</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课程代码：13838</w:t>
      </w:r>
      <w:r>
        <w:rPr>
          <w:rFonts w:hint="eastAsia" w:ascii="仿宋_GB2312" w:hAnsi="仿宋_GB2312" w:eastAsia="仿宋_GB2312" w:cs="仿宋_GB2312"/>
          <w:b/>
          <w:bCs/>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bCs/>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right="0" w:rightChars="0"/>
        <w:jc w:val="both"/>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0" w:firstLineChars="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一、课程性质和特点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交通规划”是高等教育自学考试交通运输专业（专升本）考试计划中的一门专业基础课，要求考生掌握交通规划领域的基础知识、基本理论与基本方法。通过本课程的学习，为考生后续在交通领域继续学习深造、从事技术工作、进行科学研究等提供坚实的基础。</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设置本课程的主要目的是使考生掌握交通规划领域的基础知识、基本理论与基本方法，提高解决交通实际问题的基本能力，能够灵活运用所学知识到实际规划中。</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通过本课程的学习，考生应达到以下目标：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1.掌握相关概念和基础知识，包括交通规划资料收集、交通需求预测、交通网络分析、交通规划方案设计等。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2.学习交通资料收集和交通需求预测的基本方法，对于基本的交通运输规划问题，具备进行现状和需求分析的能力。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3.了解交通规划对社会、环境、可持续发展等方面的影响，解析城市交通规划相关问题，提出解决策略。</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三、与相关课程的联系与区别</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交通规划是交通工程学、宏观经济学、城市交通规划等多学科知识交叉融合的一门学科，它是交通运输专业的一门主干课程，该课程为学生后续课程的学习做准备，为进一步学习交通运输专业知识打基础。</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 xml:space="preserve">课程的重点和难点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本课程的重点内容是第一章、第二章、第三章、第六章等章节，难点内容是第四章、第五章、第七章等章节，各章具体的重点和难点在大纲后面均有明确说明。</w:t>
      </w:r>
    </w:p>
    <w:p>
      <w:pPr>
        <w:keepNext w:val="0"/>
        <w:keepLines w:val="0"/>
        <w:pageBreakBefore w:val="0"/>
        <w:widowControl w:val="0"/>
        <w:kinsoku/>
        <w:wordWrap/>
        <w:overflowPunct/>
        <w:topLinePunct w:val="0"/>
        <w:autoSpaceDE/>
        <w:autoSpaceDN/>
        <w:bidi w:val="0"/>
        <w:snapToGrid w:val="0"/>
        <w:spacing w:line="240" w:lineRule="auto"/>
        <w:ind w:right="0" w:rightChars="0" w:firstLine="0" w:firstLineChars="0"/>
        <w:jc w:val="both"/>
        <w:rPr>
          <w:rFonts w:hint="eastAsia" w:ascii="仿宋_GB2312" w:hAnsi="仿宋_GB2312" w:eastAsia="仿宋_GB2312" w:cs="仿宋_GB2312"/>
          <w:b/>
          <w:bCs/>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0" w:firstLineChars="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本大纲是“交通规划”课程的个人自学、社会助学和考试命题的依据，本课程的考试范围以本考试大纲所限定的内容为准。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本大纲在考核目标中，按照</w:t>
      </w:r>
      <w:r>
        <w:rPr>
          <w:rFonts w:hint="eastAsia" w:ascii="仿宋_GB2312" w:hAnsi="仿宋_GB2312" w:eastAsia="仿宋_GB2312" w:cs="仿宋_GB2312"/>
          <w:b w:val="0"/>
          <w:bCs w:val="0"/>
          <w:sz w:val="21"/>
          <w:szCs w:val="21"/>
          <w:highlight w:val="none"/>
        </w:rPr>
        <w:t>识记、领会、简单应用和综合应用</w:t>
      </w:r>
      <w:r>
        <w:rPr>
          <w:rFonts w:hint="eastAsia" w:ascii="仿宋_GB2312" w:hAnsi="仿宋_GB2312" w:eastAsia="仿宋_GB2312" w:cs="仿宋_GB2312"/>
          <w:b w:val="0"/>
          <w:bCs w:val="0"/>
          <w:sz w:val="21"/>
          <w:szCs w:val="21"/>
        </w:rPr>
        <w:t>四个层次规定其应达到的能力层次要求。四个能力层次是递进关系，各能力层次的含义是：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要求考生能够识别和记忆“交通规划”课程中有关知识点的概念性内容（如教材中给出的基本定义、基本原则、主要方法、适用条件和特点等），并能够根据考核的不同要求，做出正确的表述、选择和判断。</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领会：要求考生在识记的基础上，能够领悟各知识点的内涵和外延，熟悉各知识点之间的区别与联系，能够根据相关知识点的特性来解决不同的问题；并能够进行简单的分析。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简单应用：要求考生运用交通规划的少量知识点，分析和解决一般的应用问题，例如分析OD结果，交通小区的划分等。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综合应用：要求考生综合运用交通规划的多个知识点，分析解决一些基本应用问题，并可分析城市交通规划发展现状，提出一些基本解决策略等。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Ⅲ  课程内容与考核要求</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交通规划概论</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系统介绍交通规划的基本概念、目的、任务、主体内容和工作流程。通过本章的学习，应了解交通规划的分类与层次划分，以及不同类型、不同层次交通规划的基本要求，掌握交通规划的指导思想和基本原则。</w:t>
      </w:r>
    </w:p>
    <w:p>
      <w:pPr>
        <w:keepNext w:val="0"/>
        <w:keepLines w:val="0"/>
        <w:pageBreakBefore w:val="0"/>
        <w:widowControl w:val="0"/>
        <w:numPr>
          <w:ilvl w:val="0"/>
          <w:numId w:val="2"/>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交通规划的定义、分类与层次划分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交通规划的目的与任务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 交通规划的总体设计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（一）交通规划的定义、分类与层次划分</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识记：交通规划的定义。</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领会：交通规划的分类与层次划分。</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（二）交通规划的目的与任务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领会：交通规划的目的与要求。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综合应用：交通规划的主体内容。</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（三）交通规划的总体设计</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简单应用：交通规划的期限；交通规划的影响范围。</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本章的重点：交通规划的定义、分类与层次划分。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本章的难点：交通规划的主体内容；交通规划的范围与期限。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交通调查与数据分析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主要介绍交通规划实践中的前期调查准备。通过本章的学习，应系统了解交通需求、交通供给、交通运行与基础数据的调查内容、调查方法与数据库设计，掌握居民出行OD调查设计、调查方法、实施步骤与出行特征统计分析方法。</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二、</w:t>
      </w: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2</w:t>
      </w:r>
      <w:r>
        <w:rPr>
          <w:rFonts w:hint="eastAsia" w:ascii="仿宋_GB2312" w:hAnsi="仿宋_GB2312" w:eastAsia="仿宋_GB2312" w:cs="仿宋_GB2312"/>
          <w:b w:val="0"/>
          <w:bCs w:val="0"/>
          <w:sz w:val="21"/>
          <w:szCs w:val="21"/>
        </w:rPr>
        <w:t>.1 概述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2</w:t>
      </w:r>
      <w:r>
        <w:rPr>
          <w:rFonts w:hint="eastAsia" w:ascii="仿宋_GB2312" w:hAnsi="仿宋_GB2312" w:eastAsia="仿宋_GB2312" w:cs="仿宋_GB2312"/>
          <w:b w:val="0"/>
          <w:bCs w:val="0"/>
          <w:sz w:val="21"/>
          <w:szCs w:val="21"/>
        </w:rPr>
        <w:t>.2 社会经济</w:t>
      </w:r>
      <w:r>
        <w:rPr>
          <w:rFonts w:hint="eastAsia" w:ascii="仿宋_GB2312" w:hAnsi="仿宋_GB2312" w:eastAsia="仿宋_GB2312" w:cs="仿宋_GB2312"/>
          <w:b w:val="0"/>
          <w:bCs w:val="0"/>
          <w:sz w:val="21"/>
          <w:szCs w:val="21"/>
          <w:lang w:val="en-US" w:eastAsia="zh-CN"/>
        </w:rPr>
        <w:t>及</w:t>
      </w:r>
      <w:r>
        <w:rPr>
          <w:rFonts w:hint="eastAsia" w:ascii="仿宋_GB2312" w:hAnsi="仿宋_GB2312" w:eastAsia="仿宋_GB2312" w:cs="仿宋_GB2312"/>
          <w:b w:val="0"/>
          <w:bCs w:val="0"/>
          <w:sz w:val="21"/>
          <w:szCs w:val="21"/>
        </w:rPr>
        <w:t>土地利用基础资料调查分析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2</w:t>
      </w:r>
      <w:r>
        <w:rPr>
          <w:rFonts w:hint="eastAsia" w:ascii="仿宋_GB2312" w:hAnsi="仿宋_GB2312" w:eastAsia="仿宋_GB2312" w:cs="仿宋_GB2312"/>
          <w:b w:val="0"/>
          <w:bCs w:val="0"/>
          <w:sz w:val="21"/>
          <w:szCs w:val="21"/>
        </w:rPr>
        <w:t>.3 起讫点调查</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2</w:t>
      </w:r>
      <w:r>
        <w:rPr>
          <w:rFonts w:hint="eastAsia" w:ascii="仿宋_GB2312" w:hAnsi="仿宋_GB2312" w:eastAsia="仿宋_GB2312" w:cs="仿宋_GB2312"/>
          <w:b w:val="0"/>
          <w:bCs w:val="0"/>
          <w:sz w:val="21"/>
          <w:szCs w:val="21"/>
        </w:rPr>
        <w:t>.4 交通量与交通设施调查</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（一）概述</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识记：交通规划的资料采集内容。</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领会：交通区划分的目的。</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简单应用：交通区划分的原则。</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（二）社会经济</w:t>
      </w:r>
      <w:r>
        <w:rPr>
          <w:rFonts w:hint="eastAsia" w:ascii="仿宋_GB2312" w:hAnsi="仿宋_GB2312" w:eastAsia="仿宋_GB2312" w:cs="仿宋_GB2312"/>
          <w:b w:val="0"/>
          <w:bCs w:val="0"/>
          <w:sz w:val="21"/>
          <w:szCs w:val="21"/>
          <w:lang w:val="en-US" w:eastAsia="zh-CN"/>
        </w:rPr>
        <w:t>及</w:t>
      </w:r>
      <w:r>
        <w:rPr>
          <w:rFonts w:hint="eastAsia" w:ascii="仿宋_GB2312" w:hAnsi="仿宋_GB2312" w:eastAsia="仿宋_GB2312" w:cs="仿宋_GB2312"/>
          <w:b w:val="0"/>
          <w:bCs w:val="0"/>
          <w:sz w:val="21"/>
          <w:szCs w:val="21"/>
        </w:rPr>
        <w:t>土地利用基础资料调查分析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领会：社会经济</w:t>
      </w:r>
      <w:r>
        <w:rPr>
          <w:rFonts w:hint="eastAsia" w:ascii="仿宋_GB2312" w:hAnsi="仿宋_GB2312" w:eastAsia="仿宋_GB2312" w:cs="仿宋_GB2312"/>
          <w:b w:val="0"/>
          <w:bCs w:val="0"/>
          <w:sz w:val="21"/>
          <w:szCs w:val="21"/>
          <w:lang w:val="en-US" w:eastAsia="zh-CN"/>
        </w:rPr>
        <w:t>及</w:t>
      </w:r>
      <w:r>
        <w:rPr>
          <w:rFonts w:hint="eastAsia" w:ascii="仿宋_GB2312" w:hAnsi="仿宋_GB2312" w:eastAsia="仿宋_GB2312" w:cs="仿宋_GB2312"/>
          <w:b w:val="0"/>
          <w:bCs w:val="0"/>
          <w:sz w:val="21"/>
          <w:szCs w:val="21"/>
        </w:rPr>
        <w:t>土地利用基础资料调查的内容。</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（三）起讫点调查</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识记：起讫点调查的概念；各常用术语：出行、小区形心、期望线、主流倾向线、分隔核查线、境界线、OD表的定义。</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领会：OD调查项目的内容；OD调查的抽样方法；OD调查的步骤。</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简单应用：城市居民OD调查的方法；机动车出行</w:t>
      </w:r>
      <w:r>
        <w:rPr>
          <w:rFonts w:hint="eastAsia" w:ascii="仿宋_GB2312" w:hAnsi="仿宋_GB2312" w:eastAsia="仿宋_GB2312" w:cs="仿宋_GB2312"/>
          <w:b w:val="0"/>
          <w:bCs w:val="0"/>
          <w:sz w:val="21"/>
          <w:szCs w:val="21"/>
          <w:lang w:val="en-US" w:eastAsia="zh-CN"/>
        </w:rPr>
        <w:t>O</w:t>
      </w:r>
      <w:r>
        <w:rPr>
          <w:rFonts w:hint="eastAsia" w:ascii="仿宋_GB2312" w:hAnsi="仿宋_GB2312" w:eastAsia="仿宋_GB2312" w:cs="仿宋_GB2312"/>
          <w:b w:val="0"/>
          <w:bCs w:val="0"/>
          <w:sz w:val="21"/>
          <w:szCs w:val="21"/>
        </w:rPr>
        <w:t>OD调查的方法。</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综合应用：OD调查的统计分析。</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（四）交通量与交通设施调查</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识记：城市道路交通量调查方法。</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本章的重点：交通调查的内容、方法与各常用术语的定义。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本章的难点：OD调查方法与统计分析。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交通需求预测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主要介绍交通需求预测的基本理论和方法。主要内容是经典的“四阶段预测法”，介绍其发展历程以及“四阶段预测法”的前三个阶段，即生成交通量、分布交通量和交通方式划分预测的思路、方法和模型。通过本章学习，应了解交通生成预测、交通分布预测和交通方式划分的常用方法。</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二、</w:t>
      </w: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3</w:t>
      </w:r>
      <w:r>
        <w:rPr>
          <w:rFonts w:hint="eastAsia" w:ascii="仿宋_GB2312" w:hAnsi="仿宋_GB2312" w:eastAsia="仿宋_GB2312" w:cs="仿宋_GB2312"/>
          <w:b w:val="0"/>
          <w:bCs w:val="0"/>
          <w:sz w:val="21"/>
          <w:szCs w:val="21"/>
        </w:rPr>
        <w:t>.1 交通生成预测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3</w:t>
      </w:r>
      <w:r>
        <w:rPr>
          <w:rFonts w:hint="eastAsia" w:ascii="仿宋_GB2312" w:hAnsi="仿宋_GB2312" w:eastAsia="仿宋_GB2312" w:cs="仿宋_GB2312"/>
          <w:b w:val="0"/>
          <w:bCs w:val="0"/>
          <w:sz w:val="21"/>
          <w:szCs w:val="21"/>
        </w:rPr>
        <w:t>.2 交通分布预测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3</w:t>
      </w:r>
      <w:r>
        <w:rPr>
          <w:rFonts w:hint="eastAsia" w:ascii="仿宋_GB2312" w:hAnsi="仿宋_GB2312" w:eastAsia="仿宋_GB2312" w:cs="仿宋_GB2312"/>
          <w:b w:val="0"/>
          <w:bCs w:val="0"/>
          <w:sz w:val="21"/>
          <w:szCs w:val="21"/>
        </w:rPr>
        <w:t>.3 交通方式划分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（一）交通生成预测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识记：交通生成量的定义。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领会：交通生成预测的影响因素。</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简单应用：交通生成总量的预测；常用的交通生成预测的方法与特点。</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（二）交通分布预测</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识记：交通分布的概念。</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领会：交通分布预测的方法与特点。</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（三）交通方式划分</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识记：交通方式划分的概念。</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领会：集计分析与非集计分析的概念。</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综合应用：集计分析与非集计分析的区别。</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本章的重点：交通生成、分布、方式划分的概念；交通生成预测、交通分布预测的方法与特点。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本章的难点：交通生成总量的预测；集计分析与非集计分析的概念与区别。</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交通网络分析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本章主要以道路网为例介绍交通网络分析方法。通过本章的学习，应掌握交通网络的计算机表示方法，了解交通阻抗分析方法，能从整个交通网络角度分析评估交通规划、建设与管理方案的效果。</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二、</w:t>
      </w: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4</w:t>
      </w:r>
      <w:r>
        <w:rPr>
          <w:rFonts w:hint="eastAsia" w:ascii="仿宋_GB2312" w:hAnsi="仿宋_GB2312" w:eastAsia="仿宋_GB2312" w:cs="仿宋_GB2312"/>
          <w:b w:val="0"/>
          <w:bCs w:val="0"/>
          <w:sz w:val="21"/>
          <w:szCs w:val="21"/>
        </w:rPr>
        <w:t>.1 交通网络的计算机表示方法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4</w:t>
      </w:r>
      <w:r>
        <w:rPr>
          <w:rFonts w:hint="eastAsia" w:ascii="仿宋_GB2312" w:hAnsi="仿宋_GB2312" w:eastAsia="仿宋_GB2312" w:cs="仿宋_GB2312"/>
          <w:b w:val="0"/>
          <w:bCs w:val="0"/>
          <w:sz w:val="21"/>
          <w:szCs w:val="21"/>
        </w:rPr>
        <w:t>.2 交通阻抗分析方法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（一）交通网络的计算机表示方法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识记：交通网络的计算机表示方法。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领会：道路路段的抽象等级；交叉口的抽象类型。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简单应用：交通网络、节点、有向边的概念；邻接矩阵、邻接目录表、权矩阵的概念。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综合运用：抽象交通网络对应的邻接矩阵、邻接目录表、权矩阵的表示方法。</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（二）交通阻抗分析方法</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识记：路阻函数的定义。</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领会：路权的概念。</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本章的重点：交通网络的计算机表示方法。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本章的难点：邻接矩阵、邻接目录表、权矩阵的概念与表示方法。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562"/>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城市综合交通规划</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主要介绍城市综合交通规划的基本内容和要求，阐述城市交通发展战略规划、城市中长期交通体系规划、城市交通近期治理规划各层次规划的任务、目标、原则和方法。通过本章的学习，应了解城市综合交通规划的基本理论和方法，初步具备运用理论知识分析和解决城市综合交通规划实际问题的能力。</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二、</w:t>
      </w: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5</w:t>
      </w:r>
      <w:r>
        <w:rPr>
          <w:rFonts w:hint="eastAsia" w:ascii="仿宋_GB2312" w:hAnsi="仿宋_GB2312" w:eastAsia="仿宋_GB2312" w:cs="仿宋_GB2312"/>
          <w:b w:val="0"/>
          <w:bCs w:val="0"/>
          <w:sz w:val="21"/>
          <w:szCs w:val="21"/>
        </w:rPr>
        <w:t>.1 概述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5</w:t>
      </w:r>
      <w:r>
        <w:rPr>
          <w:rFonts w:hint="eastAsia" w:ascii="仿宋_GB2312" w:hAnsi="仿宋_GB2312" w:eastAsia="仿宋_GB2312" w:cs="仿宋_GB2312"/>
          <w:b w:val="0"/>
          <w:bCs w:val="0"/>
          <w:sz w:val="21"/>
          <w:szCs w:val="21"/>
        </w:rPr>
        <w:t>.2 城市交通发展战略规划</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5</w:t>
      </w:r>
      <w:r>
        <w:rPr>
          <w:rFonts w:hint="eastAsia" w:ascii="仿宋_GB2312" w:hAnsi="仿宋_GB2312" w:eastAsia="仿宋_GB2312" w:cs="仿宋_GB2312"/>
          <w:b w:val="0"/>
          <w:bCs w:val="0"/>
          <w:sz w:val="21"/>
          <w:szCs w:val="21"/>
        </w:rPr>
        <w:t>.3 城市中长期交通体系规划</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5</w:t>
      </w:r>
      <w:r>
        <w:rPr>
          <w:rFonts w:hint="eastAsia" w:ascii="仿宋_GB2312" w:hAnsi="仿宋_GB2312" w:eastAsia="仿宋_GB2312" w:cs="仿宋_GB2312"/>
          <w:b w:val="0"/>
          <w:bCs w:val="0"/>
          <w:sz w:val="21"/>
          <w:szCs w:val="21"/>
        </w:rPr>
        <w:t>.4 城市交通近期治理规划</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（一）概述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识记：城市综合交通规划的任务与内容。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领会：城市综合交通规划的层次与范围。</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简单应用：城市综合交通规划的特点。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（二）城市交通发展战略规划</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识记：城市交通发展战略规划的任务。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领会：城市交通发展战略规划的特点；战略规划的基本原则。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简单应用：战略规划基本程序。</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（三）城市中长期交通体系规划</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领会：中长期交通体系规划的内容。</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简单应用：城市对外交通规划的内容；城市道路交通系统规划的内容；城市公共交通发展规划的内容。</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（四）城市交通近期治理规划</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识记：城市交通近期治理规划的目标和内容。</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综合运用：城市交通近期治理的基本原则与方法。</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本章的重点：城市综合交通规划各层次的任务、特点与基本原则。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本章的难点：城市交通近期治理的基本原则与方法。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562"/>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城市道路网规划</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主要介绍城市道路网布局规划，快速路、主干路、次干路和支路等各级城市道路规划，城市道路交叉口规划以及城市道路横断面规划的相应规划内容、规划原则和规划方法，并从技术、经济、社会环境影响三方面构建了城市道路网络方案的评价指标。通过本章的学习，应掌握城市道路网规划的基本要求和路网方案合理性的评价方法。</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二、</w:t>
      </w: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6</w:t>
      </w:r>
      <w:r>
        <w:rPr>
          <w:rFonts w:hint="eastAsia" w:ascii="仿宋_GB2312" w:hAnsi="仿宋_GB2312" w:eastAsia="仿宋_GB2312" w:cs="仿宋_GB2312"/>
          <w:b w:val="0"/>
          <w:bCs w:val="0"/>
          <w:sz w:val="21"/>
          <w:szCs w:val="21"/>
        </w:rPr>
        <w:t>.1 城市道路网布局规划</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6</w:t>
      </w:r>
      <w:r>
        <w:rPr>
          <w:rFonts w:hint="eastAsia" w:ascii="仿宋_GB2312" w:hAnsi="仿宋_GB2312" w:eastAsia="仿宋_GB2312" w:cs="仿宋_GB2312"/>
          <w:b w:val="0"/>
          <w:bCs w:val="0"/>
          <w:sz w:val="21"/>
          <w:szCs w:val="21"/>
        </w:rPr>
        <w:t>.2 各级城市道路规划</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6</w:t>
      </w:r>
      <w:r>
        <w:rPr>
          <w:rFonts w:hint="eastAsia" w:ascii="仿宋_GB2312" w:hAnsi="仿宋_GB2312" w:eastAsia="仿宋_GB2312" w:cs="仿宋_GB2312"/>
          <w:b w:val="0"/>
          <w:bCs w:val="0"/>
          <w:sz w:val="21"/>
          <w:szCs w:val="21"/>
        </w:rPr>
        <w:t>.3 城市道路交叉口规划</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6</w:t>
      </w:r>
      <w:r>
        <w:rPr>
          <w:rFonts w:hint="eastAsia" w:ascii="仿宋_GB2312" w:hAnsi="仿宋_GB2312" w:eastAsia="仿宋_GB2312" w:cs="仿宋_GB2312"/>
          <w:b w:val="0"/>
          <w:bCs w:val="0"/>
          <w:sz w:val="21"/>
          <w:szCs w:val="21"/>
        </w:rPr>
        <w:t>.4 城市道路横断面规划</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6</w:t>
      </w:r>
      <w:r>
        <w:rPr>
          <w:rFonts w:hint="eastAsia" w:ascii="仿宋_GB2312" w:hAnsi="仿宋_GB2312" w:eastAsia="仿宋_GB2312" w:cs="仿宋_GB2312"/>
          <w:b w:val="0"/>
          <w:bCs w:val="0"/>
          <w:sz w:val="21"/>
          <w:szCs w:val="21"/>
        </w:rPr>
        <w:t>.5 城市道路网规划方案评价</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（一）城市道路网布局规划</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识记：城市道路网布局影响因素。</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领会：城市道路网络布局结构类型及特点。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综合应用：城市道路网布局规划程序；道路网系统性分析。</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（二）各级城市道路规划</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识记：快速路系统的组成要素；交织区、匝道的定义；主干路、次干路、支路的定义。</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领会：快速路规划原则；快速路系统规划特点；主干路、次干路规划原则；支路网规划特点。</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简单应用：快速路形式及适用性。</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（三）城市道路交叉口规划</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识记：城市道路交叉口类型。</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领会：城市道路立体交叉口的形式选择原则；城市道路平面交叉口规划内容。</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简单应用：城市道路交叉口形式及用地范围确定原则。</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（四）城市道路横断面规划</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识记：城市道路红线的意义与作用。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领会：道路红线宽度的确定；横断面形式的类型。</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（五）城市道路网规划方案评价</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识记：城市道路网络方案经济评价原则与内容。</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简单应用：城市道路网络方案技术评价指标。</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本章的重点：城市道路网络布局结构类型及特点；各级道路系统规划的内容；城市道路交叉口类型、规划内容；道路红线的意义、作用与确定原则。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本章的难点：城市道路网布局规划程序与道路网系统性分析；城市道路网络方案技术评价指标。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562"/>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城市公共交通规划</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本章主要介绍城市公共交通规划的目标与任务，城市公交路权优先系统规划的相关规划内容和方法。通过本章的学习，应系统了解我国城市公共交通优先发展的目标要求、基本原则与基本方法。</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二、</w:t>
      </w: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7</w:t>
      </w:r>
      <w:r>
        <w:rPr>
          <w:rFonts w:hint="eastAsia" w:ascii="仿宋_GB2312" w:hAnsi="仿宋_GB2312" w:eastAsia="仿宋_GB2312" w:cs="仿宋_GB2312"/>
          <w:b w:val="0"/>
          <w:bCs w:val="0"/>
          <w:sz w:val="21"/>
          <w:szCs w:val="21"/>
        </w:rPr>
        <w:t>.1 城市公共交通规划目标与任务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7</w:t>
      </w:r>
      <w:r>
        <w:rPr>
          <w:rFonts w:hint="eastAsia" w:ascii="仿宋_GB2312" w:hAnsi="仿宋_GB2312" w:eastAsia="仿宋_GB2312" w:cs="仿宋_GB2312"/>
          <w:b w:val="0"/>
          <w:bCs w:val="0"/>
          <w:sz w:val="21"/>
          <w:szCs w:val="21"/>
        </w:rPr>
        <w:t>.2 城市公交路权优先系统规划</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（一）城市公共交通规划目标与任务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识记：城市公共交通规划目标与任务。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领会：公交方式及其在公交系统中的功能定位。</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简单应用：公共交通调查与分析评价。</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（二）城市公交路权优先系统规划</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识记：公交优先的分类；公交路权优先的措施。</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领会：公交优先路权形式及其适用范围。</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综合应用：公交优先的核心内容与主要措施。</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本章的重点：城市公共交通规划目标与任务；公交方式的类型特点；公交优先的形式。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本章的难点：公交优先的核心与主要措施。</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Ⅳ  关于大纲的说明与考核实施要求</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一、自学考试大纲的目的和作用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“交通规划”课程自学考试大纲是根据交通运输专业（专升本）专业自学考试计划的要求，结合自学考试的特点而确定。其目的是对个人自学、社会助学和课程考试命题进行指导和规定。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二、课程自学考试大纲与教材的关系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进行学习和考核的依据，教材给出了学习掌握课程知识的基本内容与范围，教材的内容还包括大纲所规定的课程知识的扩展与发挥。课程内容在教材中可以体现一定的深度或难度，但在大纲中对考核的要求一定要适当。</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大纲与教材所体现的课程内容基本一致；大纲里面的课程内容和考核知识点，教材里一般也要有。反过来教材里有的内容，大纲里就不一定体现。</w:t>
      </w:r>
    </w:p>
    <w:p>
      <w:pPr>
        <w:keepNext w:val="0"/>
        <w:keepLines w:val="0"/>
        <w:pageBreakBefore w:val="0"/>
        <w:widowControl w:val="0"/>
        <w:numPr>
          <w:ilvl w:val="0"/>
          <w:numId w:val="3"/>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关于教材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bookmarkStart w:id="0" w:name="_GoBack"/>
      <w:r>
        <w:rPr>
          <w:rFonts w:hint="eastAsia" w:ascii="仿宋_GB2312" w:hAnsi="仿宋_GB2312" w:eastAsia="仿宋_GB2312" w:cs="仿宋_GB2312"/>
          <w:b w:val="0"/>
          <w:bCs w:val="0"/>
          <w:sz w:val="21"/>
          <w:szCs w:val="21"/>
        </w:rPr>
        <w:t>《交通规划》，王炜、陈学武编著，人民交通出版社，2017年版</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第2版</w:t>
      </w:r>
      <w:r>
        <w:rPr>
          <w:rFonts w:hint="eastAsia" w:ascii="仿宋_GB2312" w:hAnsi="仿宋_GB2312" w:eastAsia="仿宋_GB2312" w:cs="仿宋_GB2312"/>
          <w:b w:val="0"/>
          <w:bCs w:val="0"/>
          <w:sz w:val="21"/>
          <w:szCs w:val="21"/>
          <w:lang w:eastAsia="zh-CN"/>
        </w:rPr>
        <w:t>）</w:t>
      </w:r>
      <w:bookmarkEnd w:id="0"/>
      <w:r>
        <w:rPr>
          <w:rFonts w:hint="eastAsia" w:ascii="仿宋_GB2312" w:hAnsi="仿宋_GB2312" w:eastAsia="仿宋_GB2312" w:cs="仿宋_GB2312"/>
          <w:b w:val="0"/>
          <w:bCs w:val="0"/>
          <w:sz w:val="21"/>
          <w:szCs w:val="21"/>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本教材</w:t>
      </w:r>
      <w:r>
        <w:rPr>
          <w:rFonts w:hint="eastAsia" w:ascii="仿宋_GB2312" w:hAnsi="仿宋_GB2312" w:eastAsia="仿宋_GB2312" w:cs="仿宋_GB2312"/>
          <w:b w:val="0"/>
          <w:bCs w:val="0"/>
          <w:sz w:val="21"/>
          <w:szCs w:val="21"/>
          <w:lang w:eastAsia="zh-CN"/>
        </w:rPr>
        <w:t>第二章的第五节和第六节、第三章的第一节、第四章的第一节、第四节、第五节和第六节、第七章的第二节和第三节、</w:t>
      </w:r>
      <w:r>
        <w:rPr>
          <w:rFonts w:hint="eastAsia" w:ascii="仿宋_GB2312" w:hAnsi="仿宋_GB2312" w:eastAsia="仿宋_GB2312" w:cs="仿宋_GB2312"/>
          <w:b w:val="0"/>
          <w:bCs w:val="0"/>
          <w:sz w:val="21"/>
          <w:szCs w:val="21"/>
        </w:rPr>
        <w:t>第八章、第九章、第十章、第十一章考生可根据个人能力兴趣学习，不纳入考核范围。</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四、关于自学要求和自学方法的指导</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为有效地指导个人自学和社会助学，本大纲已指明了课程的重点和难点，在章节的基本要求中一般也指明了章节内容的重点和难点。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由于成人学习的个性化特点，建议业余自学时间不低于90个学时。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建议学习本课程时注意以下几点：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1.在学习本课程教材之前，应先仔细阅读本大纲，了解本课程的性质和特点，熟知本课程的基本要求，在学习本课程时，能紧紧围绕本课程的基本要求。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2.在自学每一章的教材之前，先阅读本大纲中对应章节的学习目的与要求、考核知识点与考核要求，以使在自学时做到心中有数。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把学习基本理论、基本知识与分析、解决实际问题结合起来。首先，要弄懂基本理论、基本原理、基本知识和基本方法；其次，要学习运用这些知识联系实际解决有关实际问题。重点是要深刻领会教材内容，将知识转化为能力，提高运用知识分析问题和解决问题的能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考试前梳理已经学习过的内容，搞清楚一些基本概念、理论及方法之间的关系，便于记忆、加深理解，从而掌握分析计算方法。例如第四章，首先明确交通网络、节点、有向边等概念，搞清楚抽象的交通网络的表示方式和邻接矩阵、邻接目录表、权矩阵等定义，即可掌握对交通网络的计算与分析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学习交通规划的目的是运用交通规划理论与方法解决交通规划实际问题，综合应用能力的培养除要学习课程书本知识之外，建议跟踪当前国内外大中型城市交通运输系统建设与管理的实践案例，提高综合系统的分析和应用能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五</w:t>
      </w:r>
      <w:r>
        <w:rPr>
          <w:rFonts w:hint="eastAsia" w:ascii="仿宋_GB2312" w:hAnsi="仿宋_GB2312" w:eastAsia="仿宋_GB2312" w:cs="仿宋_GB2312"/>
          <w:b w:val="0"/>
          <w:bCs w:val="0"/>
          <w:sz w:val="21"/>
          <w:szCs w:val="21"/>
        </w:rPr>
        <w:t>、对社会助学的要求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对担任本课程自学助学的任课教师和自学助学单位提出以下几条基本要求。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1.熟知本课程考试大纲的各项要求，熟悉各章节的考核知识点。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2.辅导教学以大纲为依据，不要随意删减内容，以免偏离大纲。</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3.辅导还要注意突出重点，要帮助学生对课程内容建立一个整体的概念。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助学者在辅导时应帮助自学者梳理重点内容和一般内容之间的关系，在他们全面掌握全部考试内容的基础上，深入交通调查与数据分析方法、交通生成预测和交通分布预测方法、交通网络的计算机表示方法、城市公共交通规划目标与任务等重点内容，注意本课程交通需求预测、交通网络分析与城市综合交通规划体系等内容的系统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交通规划是理论研究与工程实践紧密结合的一门课程，助学者应帮助自学者了解交通调查、交通需求、交通网络等基础知识和相关计算、分析和评价方法的应用，适当增加一些例解培养自学者对方法应用的兴趣，深入理解基础理论，提高他们的分析应用能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建议本课程考纲内容学时如下：</w:t>
      </w:r>
    </w:p>
    <w:tbl>
      <w:tblPr>
        <w:tblStyle w:val="12"/>
        <w:tblW w:w="7952"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4"/>
        <w:gridCol w:w="4310"/>
        <w:gridCol w:w="2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章次</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学习内容</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建议学时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第1章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交通规划概论</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第2章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交通调查与数据分析</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第3章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交通需求预测</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第4章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交通网络分析</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第5章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城市综合交通规划</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第6章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城市道路网规划</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第7章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城市公共交通规划</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10</w:t>
            </w:r>
          </w:p>
        </w:tc>
      </w:tr>
    </w:tbl>
    <w:p>
      <w:pPr>
        <w:keepNext w:val="0"/>
        <w:keepLines w:val="0"/>
        <w:pageBreakBefore w:val="0"/>
        <w:widowControl w:val="0"/>
        <w:numPr>
          <w:ilvl w:val="-1"/>
          <w:numId w:val="0"/>
        </w:numPr>
        <w:kinsoku/>
        <w:wordWrap/>
        <w:overflowPunct/>
        <w:topLinePunct w:val="0"/>
        <w:autoSpaceDE/>
        <w:autoSpaceDN/>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六、</w:t>
      </w:r>
      <w:r>
        <w:rPr>
          <w:rFonts w:hint="eastAsia" w:ascii="仿宋_GB2312" w:hAnsi="仿宋_GB2312" w:eastAsia="仿宋_GB2312" w:cs="仿宋_GB2312"/>
          <w:b w:val="0"/>
          <w:bCs w:val="0"/>
          <w:sz w:val="21"/>
          <w:szCs w:val="21"/>
        </w:rPr>
        <w:t>对考核内容的说明</w:t>
      </w:r>
    </w:p>
    <w:p>
      <w:pPr>
        <w:keepNext w:val="0"/>
        <w:keepLines w:val="0"/>
        <w:pageBreakBefore w:val="0"/>
        <w:widowControl w:val="0"/>
        <w:kinsoku/>
        <w:wordWrap/>
        <w:overflowPunct/>
        <w:topLinePunct w:val="0"/>
        <w:autoSpaceDE/>
        <w:autoSpaceDN/>
        <w:bidi w:val="0"/>
        <w:snapToGrid w:val="0"/>
        <w:spacing w:line="240" w:lineRule="auto"/>
        <w:ind w:right="0" w:rightChars="0" w:firstLine="42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四个认知层次确定其考核要求。</w:t>
      </w:r>
    </w:p>
    <w:p>
      <w:pPr>
        <w:keepNext w:val="0"/>
        <w:keepLines w:val="0"/>
        <w:pageBreakBefore w:val="0"/>
        <w:widowControl w:val="0"/>
        <w:numPr>
          <w:ilvl w:val="-1"/>
          <w:numId w:val="0"/>
        </w:numPr>
        <w:kinsoku/>
        <w:wordWrap/>
        <w:overflowPunct/>
        <w:topLinePunct w:val="0"/>
        <w:autoSpaceDE/>
        <w:autoSpaceDN/>
        <w:bidi w:val="0"/>
        <w:snapToGrid w:val="0"/>
        <w:spacing w:line="240" w:lineRule="auto"/>
        <w:ind w:left="0" w:leftChars="0" w:right="0" w:rightChars="0" w:firstLine="42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keepNext w:val="0"/>
        <w:keepLines w:val="0"/>
        <w:pageBreakBefore w:val="0"/>
        <w:widowControl w:val="0"/>
        <w:numPr>
          <w:ilvl w:val="-1"/>
          <w:numId w:val="0"/>
        </w:numPr>
        <w:kinsoku/>
        <w:wordWrap/>
        <w:overflowPunct/>
        <w:topLinePunct w:val="0"/>
        <w:autoSpaceDE/>
        <w:autoSpaceDN/>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七、</w:t>
      </w:r>
      <w:r>
        <w:rPr>
          <w:rFonts w:hint="eastAsia" w:ascii="仿宋_GB2312" w:hAnsi="仿宋_GB2312" w:eastAsia="仿宋_GB2312" w:cs="仿宋_GB2312"/>
          <w:b w:val="0"/>
          <w:bCs w:val="0"/>
          <w:sz w:val="21"/>
          <w:szCs w:val="21"/>
        </w:rPr>
        <w:t>关于考试命题的若干规定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1.本课程考试采用闭卷笔试方式考核，考试时间150分钟</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满分100分,60分及格</w:t>
      </w:r>
      <w:r>
        <w:rPr>
          <w:rFonts w:hint="eastAsia" w:ascii="仿宋_GB2312" w:hAnsi="仿宋_GB2312" w:eastAsia="仿宋_GB2312" w:cs="仿宋_GB2312"/>
          <w:b w:val="0"/>
          <w:bCs w:val="0"/>
          <w:sz w:val="21"/>
          <w:szCs w:val="21"/>
        </w:rPr>
        <w:t>。考试时只允许携带笔、橡皮和尺，答卷必须使用蓝色或黑色钢笔或签字笔书写。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不应命制超出大纲中考核知识点范围的题目，考核目标不得高于大纲中所规定的相应的最高能力层次要求。命题应着重考核自学者对基本概念、基本知识和基本理论是否了解或掌握，对基本方法是否会用或熟练。不应命制与基本要求不符的偏题或怪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4.本课程在试卷中对不同能力层次要求的分数比例大致为：识记占20%，领会占30%，简单应用占30%，综合应用占20%。</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5.试题的难易程度分为4个等级：易、较易、较难和难四个等级。每份试卷中不同难度试题的分数比例一般为：易占20%，较易占30%，较难占</w:t>
      </w:r>
      <w:r>
        <w:rPr>
          <w:rFonts w:hint="eastAsia" w:ascii="仿宋_GB2312" w:hAnsi="仿宋_GB2312" w:eastAsia="仿宋_GB2312" w:cs="仿宋_GB2312"/>
          <w:b w:val="0"/>
          <w:bCs w:val="0"/>
          <w:sz w:val="21"/>
          <w:szCs w:val="21"/>
          <w:lang w:val="en-US" w:eastAsia="zh-CN"/>
        </w:rPr>
        <w:t>3</w:t>
      </w:r>
      <w:r>
        <w:rPr>
          <w:rFonts w:hint="eastAsia" w:ascii="仿宋_GB2312" w:hAnsi="仿宋_GB2312" w:eastAsia="仿宋_GB2312" w:cs="仿宋_GB2312"/>
          <w:b w:val="0"/>
          <w:bCs w:val="0"/>
          <w:sz w:val="21"/>
          <w:szCs w:val="21"/>
        </w:rPr>
        <w:t>0%，难占20%。</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必须注意试题的难易程度与能力层次有一定的联系，但两者不是等同的概念，在各个能力层次都有不同难度的试题。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6.各种题型的具体样式参见本大纲附录。</w:t>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fldChar w:fldCharType="begin"/>
      </w:r>
      <w:r>
        <w:rPr>
          <w:rFonts w:hint="eastAsia" w:ascii="仿宋_GB2312" w:hAnsi="仿宋_GB2312" w:eastAsia="仿宋_GB2312" w:cs="仿宋_GB2312"/>
          <w:b/>
          <w:bCs/>
          <w:sz w:val="21"/>
          <w:szCs w:val="21"/>
        </w:rPr>
        <w:instrText xml:space="preserve"> = 5 \* ROMAN \* MERGEFORMAT </w:instrText>
      </w:r>
      <w:r>
        <w:rPr>
          <w:rFonts w:hint="eastAsia" w:ascii="仿宋_GB2312" w:hAnsi="仿宋_GB2312" w:eastAsia="仿宋_GB2312" w:cs="仿宋_GB2312"/>
          <w:b/>
          <w:bCs/>
          <w:sz w:val="21"/>
          <w:szCs w:val="21"/>
        </w:rPr>
        <w:fldChar w:fldCharType="separate"/>
      </w:r>
      <w:r>
        <w:rPr>
          <w:rFonts w:hint="eastAsia" w:ascii="仿宋_GB2312" w:hAnsi="仿宋_GB2312" w:eastAsia="仿宋_GB2312" w:cs="仿宋_GB2312"/>
          <w:b/>
          <w:bCs/>
          <w:sz w:val="21"/>
          <w:szCs w:val="21"/>
        </w:rPr>
        <w:t>V</w:t>
      </w:r>
      <w:r>
        <w:rPr>
          <w:rFonts w:hint="eastAsia" w:ascii="仿宋_GB2312" w:hAnsi="仿宋_GB2312" w:eastAsia="仿宋_GB2312" w:cs="仿宋_GB2312"/>
          <w:b/>
          <w:bCs/>
          <w:sz w:val="21"/>
          <w:szCs w:val="21"/>
        </w:rPr>
        <w:fldChar w:fldCharType="end"/>
      </w:r>
      <w:r>
        <w:rPr>
          <w:rFonts w:hint="eastAsia" w:ascii="仿宋_GB2312" w:hAnsi="仿宋_GB2312" w:eastAsia="仿宋_GB2312" w:cs="仿宋_GB2312"/>
          <w:b/>
          <w:bCs/>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一、单项选择题（在每小题后的4个备选项中只有一个是符合题目要求的，请将其选出并填写在题后的括号内）</w:t>
      </w:r>
    </w:p>
    <w:p>
      <w:pPr>
        <w:keepNext w:val="0"/>
        <w:keepLines w:val="0"/>
        <w:pageBreakBefore w:val="0"/>
        <w:widowControl w:val="0"/>
        <w:numPr>
          <w:ilvl w:val="0"/>
          <w:numId w:val="4"/>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在客运繁忙的大城市，应（  ）</w:t>
      </w:r>
    </w:p>
    <w:p>
      <w:pPr>
        <w:keepNext w:val="0"/>
        <w:keepLines w:val="0"/>
        <w:pageBreakBefore w:val="0"/>
        <w:widowControl w:val="0"/>
        <w:numPr>
          <w:ilvl w:val="0"/>
          <w:numId w:val="5"/>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提倡普及私人汽车，充分发挥小型汽车快速便捷的特点   </w:t>
      </w:r>
    </w:p>
    <w:p>
      <w:pPr>
        <w:keepNext w:val="0"/>
        <w:keepLines w:val="0"/>
        <w:pageBreakBefore w:val="0"/>
        <w:widowControl w:val="0"/>
        <w:numPr>
          <w:ilvl w:val="0"/>
          <w:numId w:val="5"/>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多设置步行街，鼓励居民以步代车，减少车辆拥堵现象</w:t>
      </w:r>
    </w:p>
    <w:p>
      <w:pPr>
        <w:keepNext w:val="0"/>
        <w:keepLines w:val="0"/>
        <w:pageBreakBefore w:val="0"/>
        <w:widowControl w:val="0"/>
        <w:numPr>
          <w:ilvl w:val="0"/>
          <w:numId w:val="5"/>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拓展城市道路，增加主干道密度，提高通过能力</w:t>
      </w:r>
    </w:p>
    <w:p>
      <w:pPr>
        <w:keepNext w:val="0"/>
        <w:keepLines w:val="0"/>
        <w:pageBreakBefore w:val="0"/>
        <w:widowControl w:val="0"/>
        <w:numPr>
          <w:ilvl w:val="0"/>
          <w:numId w:val="5"/>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实施“公交优先”原则，充分发挥公共交通的主导作用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二、名词解释题（对每小题列出的名词进行解释）</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1.境内出行</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三、简答题</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1.交通区划分的基本原则。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四、应用题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请根据下图抽象的交通网络，写出对应的邻接矩阵。其中，带箭头的边表示单向线路，无箭头的边表示双向线路。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drawing>
          <wp:anchor distT="0" distB="0" distL="0" distR="0" simplePos="0" relativeHeight="251659264" behindDoc="1" locked="0" layoutInCell="1" allowOverlap="1">
            <wp:simplePos x="0" y="0"/>
            <wp:positionH relativeFrom="column">
              <wp:posOffset>789940</wp:posOffset>
            </wp:positionH>
            <wp:positionV relativeFrom="paragraph">
              <wp:posOffset>204470</wp:posOffset>
            </wp:positionV>
            <wp:extent cx="1282700" cy="722630"/>
            <wp:effectExtent l="0" t="0" r="0" b="127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1302960" cy="734066"/>
                    </a:xfrm>
                    <a:prstGeom prst="rect">
                      <a:avLst/>
                    </a:prstGeom>
                    <a:noFill/>
                  </pic:spPr>
                </pic:pic>
              </a:graphicData>
            </a:graphic>
          </wp:anchor>
        </w:drawing>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五、论述题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1.简要论述城市道路网布局规划程序。</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Microsoft JhengHei">
    <w:panose1 w:val="020B0604030504040204"/>
    <w:charset w:val="88"/>
    <w:family w:val="swiss"/>
    <w:pitch w:val="default"/>
    <w:sig w:usb0="000002A7" w:usb1="28CF4400" w:usb2="00000016" w:usb3="00000000" w:csb0="00100009" w:csb1="0000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80"/>
    <w:family w:val="swiss"/>
    <w:pitch w:val="default"/>
    <w:sig w:usb0="00000000" w:usb1="00000000" w:usb2="0000003F" w:usb3="00000000" w:csb0="603F01FF" w:csb1="FFFF0000"/>
  </w:font>
  <w:font w:name="等线 Light">
    <w:panose1 w:val="02010600030101010101"/>
    <w:charset w:val="86"/>
    <w:family w:val="auto"/>
    <w:pitch w:val="default"/>
    <w:sig w:usb0="A00002BF" w:usb1="38CF7CFA" w:usb2="00000016" w:usb3="00000000" w:csb0="0004000F" w:csb1="00000000"/>
  </w:font>
  <w:font w:name="楷体_GB2312">
    <w:altName w:val="楷体"/>
    <w:panose1 w:val="020B0604020202020204"/>
    <w:charset w:val="86"/>
    <w:family w:val="modern"/>
    <w:pitch w:val="default"/>
    <w:sig w:usb0="00000000" w:usb1="00000000" w:usb2="00000010"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Arial">
    <w:panose1 w:val="020B0604020202020204"/>
    <w:charset w:val="80"/>
    <w:family w:val="swiss"/>
    <w:pitch w:val="default"/>
    <w:sig w:usb0="E0002EFF" w:usb1="C000785B" w:usb2="00000009" w:usb3="00000000" w:csb0="400001FF" w:csb1="FFFF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F4D3F2"/>
    <w:multiLevelType w:val="singleLevel"/>
    <w:tmpl w:val="88F4D3F2"/>
    <w:lvl w:ilvl="0" w:tentative="0">
      <w:start w:val="3"/>
      <w:numFmt w:val="chineseCounting"/>
      <w:suff w:val="nothing"/>
      <w:lvlText w:val="%1、"/>
      <w:lvlJc w:val="left"/>
      <w:pPr>
        <w:ind w:left="440" w:firstLine="0"/>
      </w:pPr>
      <w:rPr>
        <w:rFonts w:hint="eastAsia"/>
      </w:rPr>
    </w:lvl>
  </w:abstractNum>
  <w:abstractNum w:abstractNumId="1">
    <w:nsid w:val="1D088F3E"/>
    <w:multiLevelType w:val="singleLevel"/>
    <w:tmpl w:val="1D088F3E"/>
    <w:lvl w:ilvl="0" w:tentative="0">
      <w:start w:val="1"/>
      <w:numFmt w:val="upperLetter"/>
      <w:lvlText w:val="%1."/>
      <w:lvlJc w:val="left"/>
      <w:pPr>
        <w:tabs>
          <w:tab w:val="left" w:pos="312"/>
        </w:tabs>
      </w:pPr>
    </w:lvl>
  </w:abstractNum>
  <w:abstractNum w:abstractNumId="2">
    <w:nsid w:val="39544149"/>
    <w:multiLevelType w:val="singleLevel"/>
    <w:tmpl w:val="39544149"/>
    <w:lvl w:ilvl="0" w:tentative="0">
      <w:start w:val="1"/>
      <w:numFmt w:val="chineseCounting"/>
      <w:suff w:val="space"/>
      <w:lvlText w:val="第%1章"/>
      <w:lvlJc w:val="left"/>
      <w:rPr>
        <w:rFonts w:hint="eastAsia"/>
      </w:rPr>
    </w:lvl>
  </w:abstractNum>
  <w:abstractNum w:abstractNumId="3">
    <w:nsid w:val="3F410D9A"/>
    <w:multiLevelType w:val="singleLevel"/>
    <w:tmpl w:val="3F410D9A"/>
    <w:lvl w:ilvl="0" w:tentative="0">
      <w:start w:val="2"/>
      <w:numFmt w:val="chineseCounting"/>
      <w:suff w:val="nothing"/>
      <w:lvlText w:val="%1、"/>
      <w:lvlJc w:val="left"/>
      <w:rPr>
        <w:rFonts w:hint="eastAsia"/>
      </w:rPr>
    </w:lvl>
  </w:abstractNum>
  <w:abstractNum w:abstractNumId="4">
    <w:nsid w:val="4C7556F9"/>
    <w:multiLevelType w:val="singleLevel"/>
    <w:tmpl w:val="4C7556F9"/>
    <w:lvl w:ilvl="0" w:tentative="0">
      <w:start w:val="1"/>
      <w:numFmt w:val="decimal"/>
      <w:lvlText w:val="%1."/>
      <w:lvlJc w:val="left"/>
      <w:pPr>
        <w:tabs>
          <w:tab w:val="left" w:pos="312"/>
        </w:tabs>
      </w:pPr>
      <w:rPr>
        <w:rFonts w:hint="default"/>
        <w:color w:val="auto"/>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IzNjhjZjkxMjg2OGJjOTQ0NThhNzBhOGI4YTVmYWYifQ=="/>
  </w:docVars>
  <w:rsids>
    <w:rsidRoot w:val="003939BB"/>
    <w:rsid w:val="00077A8C"/>
    <w:rsid w:val="000A1BB6"/>
    <w:rsid w:val="000C15F0"/>
    <w:rsid w:val="000E5422"/>
    <w:rsid w:val="00114C42"/>
    <w:rsid w:val="001153E6"/>
    <w:rsid w:val="00130910"/>
    <w:rsid w:val="00131DCD"/>
    <w:rsid w:val="00151936"/>
    <w:rsid w:val="00171714"/>
    <w:rsid w:val="001A5646"/>
    <w:rsid w:val="001B4B0A"/>
    <w:rsid w:val="001B61A1"/>
    <w:rsid w:val="001C1D4E"/>
    <w:rsid w:val="001C7625"/>
    <w:rsid w:val="001D62BC"/>
    <w:rsid w:val="001F112A"/>
    <w:rsid w:val="00210E27"/>
    <w:rsid w:val="00234A4D"/>
    <w:rsid w:val="00287FB6"/>
    <w:rsid w:val="00294702"/>
    <w:rsid w:val="00294ED4"/>
    <w:rsid w:val="002B00ED"/>
    <w:rsid w:val="002C0E77"/>
    <w:rsid w:val="002C400A"/>
    <w:rsid w:val="002D0690"/>
    <w:rsid w:val="00312015"/>
    <w:rsid w:val="0031540E"/>
    <w:rsid w:val="0032037D"/>
    <w:rsid w:val="00334C2C"/>
    <w:rsid w:val="00344133"/>
    <w:rsid w:val="0035767B"/>
    <w:rsid w:val="00365F2A"/>
    <w:rsid w:val="003663FC"/>
    <w:rsid w:val="003939BB"/>
    <w:rsid w:val="003D2E7D"/>
    <w:rsid w:val="003E74CE"/>
    <w:rsid w:val="003F0049"/>
    <w:rsid w:val="003F3C65"/>
    <w:rsid w:val="004471E7"/>
    <w:rsid w:val="00447FC3"/>
    <w:rsid w:val="00457A4C"/>
    <w:rsid w:val="00460257"/>
    <w:rsid w:val="004736EF"/>
    <w:rsid w:val="004C75A0"/>
    <w:rsid w:val="004E4DC3"/>
    <w:rsid w:val="00520A79"/>
    <w:rsid w:val="00561E6C"/>
    <w:rsid w:val="00581E44"/>
    <w:rsid w:val="00582602"/>
    <w:rsid w:val="0058270F"/>
    <w:rsid w:val="0058374E"/>
    <w:rsid w:val="00584462"/>
    <w:rsid w:val="005B5F3E"/>
    <w:rsid w:val="005E4F70"/>
    <w:rsid w:val="005F6D6F"/>
    <w:rsid w:val="00653536"/>
    <w:rsid w:val="00675AA6"/>
    <w:rsid w:val="00677C33"/>
    <w:rsid w:val="00681DC8"/>
    <w:rsid w:val="00682209"/>
    <w:rsid w:val="006A033A"/>
    <w:rsid w:val="006A7C39"/>
    <w:rsid w:val="006B1AE1"/>
    <w:rsid w:val="006C7EBF"/>
    <w:rsid w:val="006E0317"/>
    <w:rsid w:val="006E6407"/>
    <w:rsid w:val="006E6BCC"/>
    <w:rsid w:val="006F51D8"/>
    <w:rsid w:val="00717C03"/>
    <w:rsid w:val="007228DF"/>
    <w:rsid w:val="00731DA8"/>
    <w:rsid w:val="007655A6"/>
    <w:rsid w:val="0076618F"/>
    <w:rsid w:val="0077018B"/>
    <w:rsid w:val="00792A36"/>
    <w:rsid w:val="00792D23"/>
    <w:rsid w:val="00795A98"/>
    <w:rsid w:val="007B1B8F"/>
    <w:rsid w:val="007D0336"/>
    <w:rsid w:val="007F5DF3"/>
    <w:rsid w:val="00806D57"/>
    <w:rsid w:val="00822B86"/>
    <w:rsid w:val="00823876"/>
    <w:rsid w:val="008565EB"/>
    <w:rsid w:val="00861F6D"/>
    <w:rsid w:val="00864FF3"/>
    <w:rsid w:val="00875D01"/>
    <w:rsid w:val="008A412B"/>
    <w:rsid w:val="008B1C08"/>
    <w:rsid w:val="008C4E46"/>
    <w:rsid w:val="008D56FF"/>
    <w:rsid w:val="008E51D8"/>
    <w:rsid w:val="00906726"/>
    <w:rsid w:val="009114DD"/>
    <w:rsid w:val="00913FE2"/>
    <w:rsid w:val="00931C82"/>
    <w:rsid w:val="009615BF"/>
    <w:rsid w:val="00961D5F"/>
    <w:rsid w:val="00987A99"/>
    <w:rsid w:val="00990E1A"/>
    <w:rsid w:val="00991609"/>
    <w:rsid w:val="009A400A"/>
    <w:rsid w:val="009B7E74"/>
    <w:rsid w:val="009C1027"/>
    <w:rsid w:val="009C46C2"/>
    <w:rsid w:val="009C7576"/>
    <w:rsid w:val="00A0222F"/>
    <w:rsid w:val="00A12976"/>
    <w:rsid w:val="00A17B54"/>
    <w:rsid w:val="00A278BA"/>
    <w:rsid w:val="00A61963"/>
    <w:rsid w:val="00A710C4"/>
    <w:rsid w:val="00A74FD9"/>
    <w:rsid w:val="00A8780D"/>
    <w:rsid w:val="00AE222E"/>
    <w:rsid w:val="00B01CF6"/>
    <w:rsid w:val="00B176B2"/>
    <w:rsid w:val="00B2422D"/>
    <w:rsid w:val="00B41CE2"/>
    <w:rsid w:val="00B42825"/>
    <w:rsid w:val="00B42CBC"/>
    <w:rsid w:val="00B6244B"/>
    <w:rsid w:val="00B63FC7"/>
    <w:rsid w:val="00B727F7"/>
    <w:rsid w:val="00B72B1C"/>
    <w:rsid w:val="00B91E05"/>
    <w:rsid w:val="00BC1D74"/>
    <w:rsid w:val="00BE74CD"/>
    <w:rsid w:val="00BF7D76"/>
    <w:rsid w:val="00C12347"/>
    <w:rsid w:val="00C140E6"/>
    <w:rsid w:val="00C20FB4"/>
    <w:rsid w:val="00C32981"/>
    <w:rsid w:val="00C35F4C"/>
    <w:rsid w:val="00C44D88"/>
    <w:rsid w:val="00C70708"/>
    <w:rsid w:val="00C7094A"/>
    <w:rsid w:val="00C903B7"/>
    <w:rsid w:val="00CA5D3D"/>
    <w:rsid w:val="00CA7CD3"/>
    <w:rsid w:val="00CD7D19"/>
    <w:rsid w:val="00CE0A57"/>
    <w:rsid w:val="00D15F27"/>
    <w:rsid w:val="00D42B6A"/>
    <w:rsid w:val="00D6175C"/>
    <w:rsid w:val="00D77875"/>
    <w:rsid w:val="00D817AA"/>
    <w:rsid w:val="00DA3B61"/>
    <w:rsid w:val="00DC3F83"/>
    <w:rsid w:val="00DD6F56"/>
    <w:rsid w:val="00E043EA"/>
    <w:rsid w:val="00E24E31"/>
    <w:rsid w:val="00E305D0"/>
    <w:rsid w:val="00E31BB6"/>
    <w:rsid w:val="00E421B2"/>
    <w:rsid w:val="00E47E13"/>
    <w:rsid w:val="00E663B8"/>
    <w:rsid w:val="00E73740"/>
    <w:rsid w:val="00EA0F47"/>
    <w:rsid w:val="00EE23DF"/>
    <w:rsid w:val="00F00958"/>
    <w:rsid w:val="00F03137"/>
    <w:rsid w:val="00F1060B"/>
    <w:rsid w:val="00F34072"/>
    <w:rsid w:val="00F84421"/>
    <w:rsid w:val="00FA761C"/>
    <w:rsid w:val="00FB062B"/>
    <w:rsid w:val="00FB1CBE"/>
    <w:rsid w:val="00FC2E30"/>
    <w:rsid w:val="00FC7F45"/>
    <w:rsid w:val="00FD73F2"/>
    <w:rsid w:val="00FE3BF4"/>
    <w:rsid w:val="00FE772A"/>
    <w:rsid w:val="00FE7AC1"/>
    <w:rsid w:val="03577DA5"/>
    <w:rsid w:val="060A0D89"/>
    <w:rsid w:val="06712BB6"/>
    <w:rsid w:val="0884385E"/>
    <w:rsid w:val="0B204BAA"/>
    <w:rsid w:val="0B405BA0"/>
    <w:rsid w:val="0F957915"/>
    <w:rsid w:val="0FCD5301"/>
    <w:rsid w:val="16BF6B65"/>
    <w:rsid w:val="17113AB8"/>
    <w:rsid w:val="19876DE5"/>
    <w:rsid w:val="1A3306CF"/>
    <w:rsid w:val="1B2E6E70"/>
    <w:rsid w:val="1B8847B5"/>
    <w:rsid w:val="1D7E5E8C"/>
    <w:rsid w:val="205B3ED9"/>
    <w:rsid w:val="2419690F"/>
    <w:rsid w:val="26B40B71"/>
    <w:rsid w:val="275A1718"/>
    <w:rsid w:val="27C748D4"/>
    <w:rsid w:val="290C6955"/>
    <w:rsid w:val="2B5E056B"/>
    <w:rsid w:val="2B6F5509"/>
    <w:rsid w:val="2BBD5184"/>
    <w:rsid w:val="2E0426A2"/>
    <w:rsid w:val="2F827A5E"/>
    <w:rsid w:val="303B552D"/>
    <w:rsid w:val="3159738D"/>
    <w:rsid w:val="347354DC"/>
    <w:rsid w:val="354A647F"/>
    <w:rsid w:val="35555B77"/>
    <w:rsid w:val="3EEB0A50"/>
    <w:rsid w:val="405D0862"/>
    <w:rsid w:val="41C9151C"/>
    <w:rsid w:val="43B53622"/>
    <w:rsid w:val="49261002"/>
    <w:rsid w:val="4B1C7E52"/>
    <w:rsid w:val="4B697069"/>
    <w:rsid w:val="4C572800"/>
    <w:rsid w:val="4EB26E94"/>
    <w:rsid w:val="50264C5C"/>
    <w:rsid w:val="508605D9"/>
    <w:rsid w:val="51D07D5D"/>
    <w:rsid w:val="52837B30"/>
    <w:rsid w:val="52CD24EF"/>
    <w:rsid w:val="53CA0584"/>
    <w:rsid w:val="547879D4"/>
    <w:rsid w:val="579B14B0"/>
    <w:rsid w:val="581A550C"/>
    <w:rsid w:val="5A860290"/>
    <w:rsid w:val="5BEE7811"/>
    <w:rsid w:val="5F9C5723"/>
    <w:rsid w:val="688548E9"/>
    <w:rsid w:val="689B0E74"/>
    <w:rsid w:val="70CF3CD0"/>
    <w:rsid w:val="72064700"/>
    <w:rsid w:val="749223A4"/>
    <w:rsid w:val="76581FBC"/>
    <w:rsid w:val="774F3472"/>
    <w:rsid w:val="797D52BC"/>
    <w:rsid w:val="7BC2655F"/>
    <w:rsid w:val="7D257E1F"/>
    <w:rsid w:val="7D5D078F"/>
    <w:rsid w:val="7E417769"/>
    <w:rsid w:val="7F7854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iPriority="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unhideWhenUsed/>
    <w:qFormat/>
    <w:uiPriority w:val="1"/>
  </w:style>
  <w:style w:type="table" w:default="1" w:styleId="11">
    <w:name w:val="Normal Table"/>
    <w:unhideWhenUsed/>
    <w:qFormat/>
    <w:uiPriority w:val="99"/>
    <w:tblPr>
      <w:tblLayout w:type="fixed"/>
      <w:tblCellMar>
        <w:top w:w="0" w:type="dxa"/>
        <w:left w:w="108" w:type="dxa"/>
        <w:bottom w:w="0" w:type="dxa"/>
        <w:right w:w="108" w:type="dxa"/>
      </w:tblCellMar>
    </w:tblPr>
  </w:style>
  <w:style w:type="paragraph" w:styleId="2">
    <w:name w:val="annotation subject"/>
    <w:basedOn w:val="3"/>
    <w:next w:val="3"/>
    <w:link w:val="16"/>
    <w:qFormat/>
    <w:uiPriority w:val="0"/>
    <w:rPr>
      <w:b/>
      <w:bCs/>
    </w:rPr>
  </w:style>
  <w:style w:type="paragraph" w:styleId="3">
    <w:name w:val="annotation text"/>
    <w:basedOn w:val="1"/>
    <w:link w:val="15"/>
    <w:qFormat/>
    <w:uiPriority w:val="0"/>
    <w:pPr>
      <w:jc w:val="left"/>
    </w:pPr>
  </w:style>
  <w:style w:type="paragraph" w:styleId="4">
    <w:name w:val="Body Text Indent"/>
    <w:basedOn w:val="1"/>
    <w:qFormat/>
    <w:uiPriority w:val="0"/>
    <w:pPr>
      <w:spacing w:after="120"/>
      <w:ind w:left="420" w:leftChars="200"/>
    </w:pPr>
  </w:style>
  <w:style w:type="paragraph" w:styleId="5">
    <w:name w:val="Balloon Text"/>
    <w:basedOn w:val="1"/>
    <w:link w:val="17"/>
    <w:qFormat/>
    <w:uiPriority w:val="0"/>
    <w:rPr>
      <w:sz w:val="18"/>
      <w:szCs w:val="18"/>
    </w:rPr>
  </w:style>
  <w:style w:type="paragraph" w:styleId="6">
    <w:name w:val="footer"/>
    <w:basedOn w:val="1"/>
    <w:link w:val="14"/>
    <w:qFormat/>
    <w:uiPriority w:val="0"/>
    <w:pPr>
      <w:tabs>
        <w:tab w:val="center" w:pos="4153"/>
        <w:tab w:val="right" w:pos="8306"/>
      </w:tabs>
      <w:snapToGrid w:val="0"/>
      <w:jc w:val="left"/>
    </w:pPr>
    <w:rPr>
      <w:sz w:val="18"/>
      <w:szCs w:val="18"/>
    </w:rPr>
  </w:style>
  <w:style w:type="paragraph" w:styleId="7">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99"/>
    <w:pPr>
      <w:widowControl/>
      <w:spacing w:before="100" w:beforeAutospacing="1" w:after="100" w:afterAutospacing="1"/>
      <w:jc w:val="left"/>
    </w:pPr>
    <w:rPr>
      <w:rFonts w:ascii="Arial Unicode MS" w:hAnsi="Arial Unicode MS" w:eastAsia="Arial Unicode MS" w:cs="Arial Unicode MS"/>
      <w:color w:val="000000"/>
      <w:kern w:val="0"/>
      <w:sz w:val="24"/>
    </w:rPr>
  </w:style>
  <w:style w:type="character" w:styleId="10">
    <w:name w:val="annotation reference"/>
    <w:basedOn w:val="9"/>
    <w:qFormat/>
    <w:uiPriority w:val="0"/>
    <w:rPr>
      <w:sz w:val="21"/>
      <w:szCs w:val="21"/>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3">
    <w:name w:val="页眉 字符"/>
    <w:basedOn w:val="9"/>
    <w:link w:val="7"/>
    <w:qFormat/>
    <w:uiPriority w:val="0"/>
    <w:rPr>
      <w:rFonts w:ascii="Times New Roman" w:hAnsi="Times New Roman" w:eastAsia="宋体" w:cs="Times New Roman"/>
      <w:kern w:val="2"/>
      <w:sz w:val="18"/>
      <w:szCs w:val="18"/>
    </w:rPr>
  </w:style>
  <w:style w:type="character" w:customStyle="1" w:styleId="14">
    <w:name w:val="页脚 字符"/>
    <w:basedOn w:val="9"/>
    <w:link w:val="6"/>
    <w:qFormat/>
    <w:uiPriority w:val="0"/>
    <w:rPr>
      <w:rFonts w:ascii="Times New Roman" w:hAnsi="Times New Roman" w:eastAsia="宋体" w:cs="Times New Roman"/>
      <w:kern w:val="2"/>
      <w:sz w:val="18"/>
      <w:szCs w:val="18"/>
    </w:rPr>
  </w:style>
  <w:style w:type="character" w:customStyle="1" w:styleId="15">
    <w:name w:val="批注文字 字符"/>
    <w:basedOn w:val="9"/>
    <w:link w:val="3"/>
    <w:qFormat/>
    <w:uiPriority w:val="0"/>
    <w:rPr>
      <w:rFonts w:ascii="Times New Roman" w:hAnsi="Times New Roman" w:eastAsia="宋体" w:cs="Times New Roman"/>
      <w:kern w:val="2"/>
      <w:sz w:val="21"/>
      <w:szCs w:val="24"/>
    </w:rPr>
  </w:style>
  <w:style w:type="character" w:customStyle="1" w:styleId="16">
    <w:name w:val="批注主题 字符"/>
    <w:basedOn w:val="15"/>
    <w:link w:val="2"/>
    <w:qFormat/>
    <w:uiPriority w:val="0"/>
    <w:rPr>
      <w:rFonts w:ascii="Times New Roman" w:hAnsi="Times New Roman" w:eastAsia="宋体" w:cs="Times New Roman"/>
      <w:b/>
      <w:bCs/>
      <w:kern w:val="2"/>
      <w:sz w:val="21"/>
      <w:szCs w:val="24"/>
    </w:rPr>
  </w:style>
  <w:style w:type="character" w:customStyle="1" w:styleId="17">
    <w:name w:val="批注框文本 字符"/>
    <w:basedOn w:val="9"/>
    <w:link w:val="5"/>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7179</Words>
  <Characters>7292</Characters>
  <Lines>56</Lines>
  <Paragraphs>15</Paragraphs>
  <TotalTime>0</TotalTime>
  <ScaleCrop>false</ScaleCrop>
  <LinksUpToDate>false</LinksUpToDate>
  <CharactersWithSpaces>7474</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2023-04-07T12:21:00Z</dcterms:created>
  <dc:creator>Administrator</dc:creator>
  <cp:lastModifiedBy>梁磊</cp:lastModifiedBy>
  <dcterms:modified xsi:type="dcterms:W3CDTF">2023-07-09T03:44:05Z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94726DADC6F24FDEB5F37D7035B4E7F9</vt:lpwstr>
  </property>
</Properties>
</file>