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《交通港站枢纽》</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课程代码：13834</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right="0" w:rightChars="0"/>
        <w:jc w:val="both"/>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14:textFill>
            <w14:solidFill>
              <w14:schemeClr w14:val="tx1"/>
            </w14:solidFill>
          </w14:textFill>
        </w:rPr>
        <w:t>Ⅰ  课程性质与课程目标</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一、课程性质和特点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港站枢纽”是高等教育自学考试交通运输专业（专升本）考试计划中的一门必修课，它是为满足交通运输领域及相关专业对交通运输人才的需要而开设的。该课程主要介绍了交通港站与枢纽概述、交通枢纽规划的基础调查、需求预测分析、布局规划原理、交通流线分析与设计、物流中心规划、客运交通枢纽功能布局与设施规划、城市公共交通枢纽功能布局设计等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通过本课程的学习，使考生能够分析及解决交通港站与枢纽的运营及设计相关问题，并且能够理论和实际相结合，提高分析和解决工程应用问题的能力。</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二、课程目标</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设置本课程的主要目的是使考生能够对交通港站与枢纽的功能、类别、定位等有深入的熟悉与了解，掌握交通运输节点布局设计的分析手段、规划方法、设计技术等，为运输生产服务。</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通过本课程的学习，考生应达到以下目标。</w:t>
      </w:r>
    </w:p>
    <w:p>
      <w:pPr>
        <w:pStyle w:val="1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1.</w:t>
      </w:r>
      <w:r>
        <w:rPr>
          <w:rFonts w:hint="eastAsia" w:ascii="仿宋_GB2312" w:hAnsi="仿宋_GB2312" w:eastAsia="仿宋_GB2312" w:cs="仿宋_GB2312"/>
          <w:b w:val="0"/>
          <w:bCs w:val="0"/>
          <w:color w:val="000000" w:themeColor="text1"/>
          <w:sz w:val="21"/>
          <w:szCs w:val="21"/>
          <w14:textFill>
            <w14:solidFill>
              <w14:schemeClr w14:val="tx1"/>
            </w14:solidFill>
          </w14:textFill>
        </w:rPr>
        <w:t>了解交通港站与枢纽基本概念以及我国当前的发展形势，理解各种交通方式的网络划分基本特点以及对应的港站设施；理解交通枢纽的分类以及与运输网络结构的关联性分析，掌握综合交通枢纽的概念、基本属性、系统特性、功能等。</w:t>
      </w:r>
    </w:p>
    <w:p>
      <w:pPr>
        <w:pStyle w:val="1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2.</w:t>
      </w:r>
      <w:r>
        <w:rPr>
          <w:rFonts w:hint="eastAsia" w:ascii="仿宋_GB2312" w:hAnsi="仿宋_GB2312" w:eastAsia="仿宋_GB2312" w:cs="仿宋_GB2312"/>
          <w:b w:val="0"/>
          <w:bCs w:val="0"/>
          <w:color w:val="000000" w:themeColor="text1"/>
          <w:sz w:val="21"/>
          <w:szCs w:val="21"/>
          <w14:textFill>
            <w14:solidFill>
              <w14:schemeClr w14:val="tx1"/>
            </w14:solidFill>
          </w14:textFill>
        </w:rPr>
        <w:t>理解水路运输基本情况，水运港口的功能和基本作用等；理解港口的基本概念、功能和作用、基本组成以及分类；了解码头及其设计；了解港口水域及陆域设施。</w:t>
      </w:r>
    </w:p>
    <w:p>
      <w:pPr>
        <w:pStyle w:val="1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3.</w:t>
      </w:r>
      <w:r>
        <w:rPr>
          <w:rFonts w:hint="eastAsia" w:ascii="仿宋_GB2312" w:hAnsi="仿宋_GB2312" w:eastAsia="仿宋_GB2312" w:cs="仿宋_GB2312"/>
          <w:b w:val="0"/>
          <w:bCs w:val="0"/>
          <w:color w:val="000000" w:themeColor="text1"/>
          <w:sz w:val="21"/>
          <w:szCs w:val="21"/>
          <w14:textFill>
            <w14:solidFill>
              <w14:schemeClr w14:val="tx1"/>
            </w14:solidFill>
          </w14:textFill>
        </w:rPr>
        <w:t>理解航空机场及其组成的基本定义、功能、分类等；理解航空机场的主要基础设施及运作方式；理解航空机场布局的一些基本方法。</w:t>
      </w:r>
    </w:p>
    <w:p>
      <w:pPr>
        <w:pStyle w:val="1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4.</w:t>
      </w:r>
      <w:r>
        <w:rPr>
          <w:rFonts w:hint="eastAsia" w:ascii="仿宋_GB2312" w:hAnsi="仿宋_GB2312" w:eastAsia="仿宋_GB2312" w:cs="仿宋_GB2312"/>
          <w:b w:val="0"/>
          <w:bCs w:val="0"/>
          <w:color w:val="000000" w:themeColor="text1"/>
          <w:sz w:val="21"/>
          <w:szCs w:val="21"/>
          <w14:textFill>
            <w14:solidFill>
              <w14:schemeClr w14:val="tx1"/>
            </w14:solidFill>
          </w14:textFill>
        </w:rPr>
        <w:t>了解铁路运输的市场需求特征、网络布局现状及规划情况、当前的重点以及运输需求的现状困境，理解铁路枢纽的基本概念、作业特征、设施及设备。理解铁路枢纽的布局分类，理解铁路站场的基本定义、不同方式的分类比较。</w:t>
      </w:r>
    </w:p>
    <w:p>
      <w:pPr>
        <w:pStyle w:val="1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5.</w:t>
      </w:r>
      <w:r>
        <w:rPr>
          <w:rFonts w:hint="eastAsia" w:ascii="仿宋_GB2312" w:hAnsi="仿宋_GB2312" w:eastAsia="仿宋_GB2312" w:cs="仿宋_GB2312"/>
          <w:b w:val="0"/>
          <w:bCs w:val="0"/>
          <w:color w:val="000000" w:themeColor="text1"/>
          <w:sz w:val="21"/>
          <w:szCs w:val="21"/>
          <w14:textFill>
            <w14:solidFill>
              <w14:schemeClr w14:val="tx1"/>
            </w14:solidFill>
          </w14:textFill>
        </w:rPr>
        <w:t>了解我国目前的公路运输发展基本情况，公路枢纽站场的分类、设施设备以及发展中的关键问题；了解各种站场的等级标定、布局要求。公路汽车客运站的布局形式比较分析，公路汽车客运站的基本设施设备功能介绍与分析。客运站布局的流线组织分析，道路汽车货运站(物流节点)简述、道路货运的分类及对应的站场。</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55"/>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三、与相关课程的联系与区别</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交通港站枢纽与本专业其他课程密切相关，是其课程体系中的基础课程之一。该课程为学生后续课程的学习做准备，为进一步学习《交通管理的信息化和智能化》等后续课程和交通运输专业技能及知识打基础。</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四、</w:t>
      </w:r>
      <w:r>
        <w:rPr>
          <w:rFonts w:hint="eastAsia" w:ascii="仿宋_GB2312" w:hAnsi="仿宋_GB2312" w:eastAsia="仿宋_GB2312" w:cs="仿宋_GB2312"/>
          <w:b w:val="0"/>
          <w:bCs w:val="0"/>
          <w:color w:val="000000" w:themeColor="text1"/>
          <w:sz w:val="21"/>
          <w:szCs w:val="21"/>
          <w14:textFill>
            <w14:solidFill>
              <w14:schemeClr w14:val="tx1"/>
            </w14:solidFill>
          </w14:textFill>
        </w:rPr>
        <w:t>课程的重点和难点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本课程的重点内容是第四章、第五章、第六章、第七章等章节，难点内容是第三章、第五章、第六章等章节，各章具体的重点和难点在大纲后面均有明确说明。</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14:textFill>
            <w14:solidFill>
              <w14:schemeClr w14:val="tx1"/>
            </w14:solidFill>
          </w14:textFill>
        </w:rPr>
        <w:t>Ⅱ  考核目标</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本大纲是“交通港站枢纽”课程的个人自学、社会助学和考试命题的依据，本课程的考试范围以本考试大纲所限定的内容为准。</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本大纲在考核目标中，按照识记、领会、简单应用和综合应用四个层次规定其应达到的能力层次要求。四个能力层次是递进关系，各能力层次的含义是：</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要求考生能够识别和记忆“交通港站枢纽”课程中有关知识点的概念性内容（如教材中给出的基本定义、步骤方法、适用范围、限定规则和特点等），并能够根据考核的不同要求，做出正确的表述、选择和判断。</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领会：要求考生在识记的基础上，能够全面把握基本概念、基本原理、能掌握有关概念和原理的区别与联，能够根据相关知识点的特性来解决不同的问题；并能够进行简单的分析。</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简单应用：要求考生运用交通枢纽的少量知识点，分析和解决一般的应用问题，例如，分析铁路客运站主站房平面布局</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综合应用：要求考生综合运用交通枢纽的多个知识点，分析解决较复杂的应用问题，并可进行绝对交通量预测、流线设计与组织、码头平面布置等。</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2" w:firstLineChars="200"/>
        <w:jc w:val="center"/>
        <w:textAlignment w:val="auto"/>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14:textFill>
            <w14:solidFill>
              <w14:schemeClr w14:val="tx1"/>
            </w14:solidFill>
          </w14:textFill>
        </w:rPr>
        <w:t>Ⅲ  课程内容与考核要求</w:t>
      </w: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right="0" w:rightChars="0" w:firstLine="420" w:firstLineChars="200"/>
        <w:jc w:val="center"/>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交通港站与枢纽概述</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本章简要介绍交通港站与枢纽的概念与功能、分类以及综合交通枢纽的内涵演变与发展模式。</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本章要求熟悉交通港站和交通枢纽的概念功能以及两者之间的关系，交通枢纽分类的各种划分方式，枢纽形成与发展的推动因素，交通枢纽的空间形态演变和交通枢纽的基本发展模式与布局形态。</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1.1 交通枢纽的概念与功能</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 交通枢纽的分类</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1.3 综合交通枢纽的内涵演变与发展模式</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交通枢纽的概念与功能</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识记：交通港站和枢纽的定义。</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领会：交通港站和枢纽的功能。</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简单应用：交通港站和枢纽的联系与区别。</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（二）交通枢纽的分类</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识记：按地理位置划分交通枢纽。</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领会：按服务的主要对象划分交通枢纽；按交通枢纽的位置特性划分；按交通运输干线与场站空间分布形态划分。</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简单应用：按交通方式的组合形式划分；按服务市场范围划分。</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综合应用：按承担客货运输业务的状况划分。</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（三）综合交通枢纽的内涵演变与发展模式</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领会：枢纽形成与发展的推动因素。</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简单应用：交通枢纽的空间形态演变。</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综合应用：交通枢纽的基本发展模式与布局形态。</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四、本章重点、难点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本章的重点：交通枢纽的概念与功能，交通枢纽的分类，交通枢纽的空间形态演变。</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本章的难点：交通枢纽的空间形态演变，交通枢纽的基本发展模式与布局形态。</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right="0" w:rightChars="0" w:firstLine="420" w:firstLineChars="200"/>
        <w:jc w:val="center"/>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交通枢纽规划基础调查</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本章简要介绍交通枢纽规划基础调查的流程和主要调查内容。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本章要求熟悉交通枢纽规划基础调查的各个阶段，社会经济调查的基本概念与内容，社会经济调查的方式与方法和城市土地使用规划调查的具体调查内容。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1.1 交通枢纽基础调查流程</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 社会经济调查</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1.3 城市土地使用规划调查</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ab/>
      </w: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（一）交通枢纽的基础调查的流程 </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识记：交通枢纽的基础调查的准备阶段。</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领会：交通枢纽的基础调查的总结阶段。</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简单应用：交通枢纽的基础调查的实施阶段。</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综合应用：交通枢纽的基础调查的整理研究阶段。</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（二）社会经济调查</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识记：社会经济调查的基本概念与内容。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领会：社会经济调查中的普查方法。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简单应用：社会经济调查中的重点调查方法。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综合应用：社会经济调查中的抽样调查方法。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（三）城市土地使用规划调查</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识记：城市土地使用规划调查的目的。</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领会：城市土地使用规划调查的适用范围。</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简单应用：城市土地使用规划调查的具体调查内容。</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四、本章重点、难点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本章的重点：交通枢纽的基础调查的流程，社会经济调查的基本概念与内容，社会经济调查的方式与方法。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本章的难点：社会经济调查的方式与方法。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right="0" w:rightChars="0" w:firstLine="420" w:firstLineChars="200"/>
        <w:jc w:val="center"/>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交通枢纽需求预测分析</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本章简要介绍交通枢纽需求分析基本概念，主要的交通枢纽需求预测方法，大数据在枢纽分析中的应用和通道需求分析的常用模型。</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本章要求熟悉交通枢纽目的意义等基本知识，掌握绝对交通量预测、附加交通量预测和枢纽研究范围交通量预测等交通枢纽需求预测方法，了解交通大数据的定义和特点，以及MD模型的基本原理。</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1.1 枢纽交通需求分析概述</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 枢纽交通需求预测方法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1.3 大数据在枢纽分析中的应用</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 通道运输需求分析</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（一）枢纽交通需求分析概述 </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识记：枢纽交通需求预测的目的及意义。</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领会：枢纽需求预测年限与范围。</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简单应用：枢纽客流预测内容。</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（二）枢纽交通需求预测方法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识记：枢纽研究范围交通分布预测方法。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领会：枢纽研究范围交通方式划分方法。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简单应用：附加交通量预测。</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综合应用：绝对交通量预测。</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（三）大数据在枢纽分析中的应用</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识记：交通大数据的定义。</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领会：交通大数据的特点。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（四）通道运输需求分析</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识记：运输通道的定义。</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领会：区域运输通道客运需求结构分析及预测的作用。</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简单应用：规划建设综合运输通道的作用。</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综合应用：MD模型的基本原理。</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四、本章重点、难点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本章的重点：枢纽交通需求预测方法，大数据在枢纽分析中的应用。</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本章的难点：枢纽交通需求预测方法，通道运输需求分析。</w:t>
      </w:r>
    </w:p>
    <w:p>
      <w:pPr>
        <w:keepNext w:val="0"/>
        <w:keepLines w:val="0"/>
        <w:pageBreakBefore w:val="0"/>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right="0" w:rightChars="0" w:firstLine="420" w:firstLineChars="200"/>
        <w:jc w:val="center"/>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交通枢纽的布局规划原理</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本章简要介绍交通枢纽规划基本概念，现代交通枢纽功能与布局要素，自然条件要素对交通枢纽布局规划的影响，现代交通枢纽布局方法与优化模型。</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交通枢纽规划的内涵思路等基本知识，掌握现代交通枢纽的功能和布局影响要素，工程地质条件、水文地质条件和工程取土问题对交通枢纽布局的影响，以及运用数学物理模型与成本分析法进行交通枢纽布局和模型优化。</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1.1 交通枢纽规划概述</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 现代交通枢纽功能与布局要素</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1.3 自然条件要素的影响</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 现代交通枢纽布局方法与优化模型</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（一） 交通枢纽规划概述 </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识记：交通枢纽规划的内涵与思路；</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领会：交通枢纽内部分区规划布局与设计；交通枢纽规划目标与原则。</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简单应用：交通枢纽规划与一般交通规划的关系；交通枢纽规划流程。</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（二）现代交通枢纽功能与布局要素</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领会：现代交通枢纽的功能。</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综合应用：区域交通规划要素的影响；城市规划要素的影响。</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（三）自然条件要素的影响</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识记：工程地质条件。</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领会：水文地质条件。</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简单应用：工程取土问题。</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（四）现代交通枢纽布局方法与优化模型</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领会：一元交通枢纽场站布局重心法。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简单应用：一元交通枢纽场站布局成本分析法。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综合应用：一元交通枢纽场站布局微分法。</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四、本章重点、难点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本章的重点：现代交通枢纽功能与布局要素，现代交通枢纽布局方法与优化模型。</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本章的难点：城市规划要素的影响，一元交通枢纽场站布局重心法；一元交通枢纽场站布局微分法。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right="0" w:rightChars="0" w:firstLine="420" w:firstLineChars="200"/>
        <w:jc w:val="center"/>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交通流线分析与设计</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本章简要介绍流线的定义与描述，交通流线分析与设计，交通流线疏解，交通流线的标识布置。</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本章要求熟悉流线的定义和描述方法，交通流线的种类，流线分析步骤方法，流线设计与组织，交通流线间的关系，交通流线交叉的疏解，交通流线标识的概念、设置原则和引导标识设计要求。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1.1 流线的定义与描述</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 交通流线分析与设计</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1.3 交通流线疏解</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 交通流线的标识布置</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流线的定义与描述</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识记：交通流线的定义。</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领会：交通流线的流程图表示法</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简单运用：交通流线的组织图表示法。</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（二）交通流线分析与设计</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识记：交通流线的种类；行人流线的三种类型。</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领会：既定设施布置方案下的流线生成。</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简单应用：流线瓶颈的原因分析与消除；流线瓶颈识别方法。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综合应用：流线设计与组织。</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（三）交通流线疏解</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领会：交通流线间的关系。</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简单应用：交通流线交叉的疏解方法。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（四）交通流线的标识布置</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识记：标识的概念。</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领会：标识的设置原则。</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简单应用：引导标识的设计要求。</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四、本章重点、难点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本章的重点：既定设施布置方案下的流线生成，流线瓶颈识别方法，流线瓶颈的原因分析与消除，流线设计与组织。</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本章的难点：流线瓶颈的原因分析与消除，流线设计与组织。</w:t>
      </w:r>
    </w:p>
    <w:p>
      <w:pPr>
        <w:keepNext w:val="0"/>
        <w:keepLines w:val="0"/>
        <w:pageBreakBefore w:val="0"/>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right="0" w:rightChars="0" w:firstLine="420" w:firstLineChars="200"/>
        <w:jc w:val="center"/>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货运枢纽与物流中心规划</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本章简要介绍铁路货运枢纽功能布局设计，公路货运枢纽功能布局设计，物流中心选址的一般理论与方法。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铁路货运枢纽平面布局，公路货运枢纽的主要功能，物流中心选址的意义、基本原则、影响因素、选址模型和应注意的问题，掌握公路货运枢纽的分类及其作业分析，公路货运枢纽的作业流线设计，公路货运枢纽平面布局。</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1.1 铁路货运枢纽功能布局设计</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 公路货运枢纽功能布局设计</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1.3 物流中心选址的一般理论与方法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铁路货运枢纽功能布局设计</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识记：平面布置的原则；货物的布置。</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领会：货运站的总平面布置；主要货物仓库的平面布置。</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简单应用：货运量主要资料。</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综合应用：车站货运量计算方法。</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（二）公路货运枢纽功能布局设计</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识记：公路货运枢纽主要功能。</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领会：各类货运站组成与功能；公路货运场站分类。</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简单应用：公路货运枢纽的作业流线设计；公路货运枢纽平面布置的基本类型。</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综合应用：零担货运站平面布置设计；集装箱货运站平面布置设计。</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（三）物流中心选址的一般理论与方法</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识记：物流中心选址的影响因素。</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领会：物流中心选址的意义。</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简单应用：物流中心选址的基本原则；物流中心选址时应注意的问题。</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综合应用：物流中心选址模型。</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四、本章重点、难点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本章的重点：货运站的总平面布置，公路货运枢纽的作业流线设计，零担货运站平面布置设计，集装箱货运站平面布置设计。</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本章的难点：零担货运站平面布置设计，集装箱货运站平面布置设计。</w:t>
      </w:r>
    </w:p>
    <w:p>
      <w:pPr>
        <w:keepNext w:val="0"/>
        <w:keepLines w:val="0"/>
        <w:pageBreakBefore w:val="0"/>
        <w:widowControl w:val="0"/>
        <w:kinsoku/>
        <w:wordWrap/>
        <w:overflowPunct/>
        <w:topLinePunct w:val="0"/>
        <w:autoSpaceDE/>
        <w:autoSpaceDN/>
        <w:bidi w:val="0"/>
        <w:adjustRightInd/>
        <w:snapToGrid w:val="0"/>
        <w:spacing w:line="240" w:lineRule="auto"/>
        <w:ind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right="0" w:rightChars="0" w:firstLine="420" w:firstLineChars="200"/>
        <w:jc w:val="center"/>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客运交通枢纽功能布局与设施规划</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本章简要介绍铁路客运站功能布局与设施规划，公路客运站功能布局与设施规划，港口客运枢纽功能布局与设施规划，机场客运枢纽功能布局与设施规划。</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铁路客运站基本概念，铁路客运站的分类，铁路客运站设施与布局；公路客运站基本概念，公路客运站分类，公路客运站设施与布局；港口的基本概念和分类，港口的基本组成和功能，港口的设施布局规划；机场的基本概念和分类，机场系统的组成和主要功能，机场设施布局规划。</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1.1 铁路客运站</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 公路客运站</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1.3 港口枢纽</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 机场枢纽</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562"/>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铁路客运站</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识记：铁路客运站的基本概念。</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领会：铁路客运站分类；客运站现代化设施布局；站前广场布局。</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简单应用：铁路客运站旅客站台及跨线设备布局。</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综合应用：铁路客运站主站房平面布局。</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（二）公路客运站</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识记：公路客运站基本概念。</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领会：公路客运站分类；公路客运站设施。</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简单应用：站房总体布置形式；总平面布置的基本原则和要求。</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（三）港口枢纽</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识记：港口的基本概念。</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领会：港口的基本组成和功能；港口的分类。</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简单应用：港口陆域设施布局规划。</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综合应用：码头平面布置。</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（四）机场枢纽</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识记：机场的基本概念；机场的分类。</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领会：跑道、滑行道和停机坪的布局规划。</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8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简单应用：航站区的布局规划。</w:t>
      </w:r>
    </w:p>
    <w:p>
      <w:pPr>
        <w:keepNext w:val="0"/>
        <w:keepLines w:val="0"/>
        <w:pageBreakBefore w:val="0"/>
        <w:widowControl w:val="0"/>
        <w:kinsoku/>
        <w:wordWrap/>
        <w:overflowPunct/>
        <w:topLinePunct w:val="0"/>
        <w:autoSpaceDE/>
        <w:autoSpaceDN/>
        <w:bidi w:val="0"/>
        <w:adjustRightInd/>
        <w:snapToGrid w:val="0"/>
        <w:spacing w:line="240" w:lineRule="auto"/>
        <w:ind w:left="420" w:leftChars="200" w:right="0" w:rightChars="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四、本章重点、难点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本章的重点：公路客运站总平面布置的基本原则和要求，码头平面布置，航站区的布局规划。</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本章的难点：铁路客运站主站房平面布局，总平面布置的基本原则和要求。</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14:textFill>
            <w14:solidFill>
              <w14:schemeClr w14:val="tx1"/>
            </w14:solidFill>
          </w14:textFill>
        </w:rPr>
        <w:t>Ⅳ  关于大纲的说明与考核实施要求</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一、自学考试大纲的目的和作用</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课程自学考试大纲是根据专业自学考试计划的要求，结合自学考试的特点而确定。其目的是对个人自学、社会助学和课程考试命题进行指导和规定。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二、课程自学考试大纲与教材的关系</w:t>
      </w:r>
    </w:p>
    <w:p>
      <w:pPr>
        <w:pStyle w:val="2"/>
        <w:keepNext w:val="0"/>
        <w:keepLines w:val="0"/>
        <w:pageBreakBefore w:val="0"/>
        <w:widowControl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大纲与教材所体现的课程内容基本一致；大纲里面的课程内容和考核知识点，教材里一般也要有。反过来教材里有的内容，大纲里就不一定体现。</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三、</w:t>
      </w:r>
      <w:r>
        <w:rPr>
          <w:rFonts w:hint="eastAsia" w:ascii="仿宋_GB2312" w:hAnsi="仿宋_GB2312" w:eastAsia="仿宋_GB2312" w:cs="仿宋_GB2312"/>
          <w:b w:val="0"/>
          <w:bCs w:val="0"/>
          <w:color w:val="000000" w:themeColor="text1"/>
          <w:sz w:val="21"/>
          <w:szCs w:val="21"/>
          <w14:textFill>
            <w14:solidFill>
              <w14:schemeClr w14:val="tx1"/>
            </w14:solidFill>
          </w14:textFill>
        </w:rPr>
        <w:t>关于自学教材</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0" w:name="_GoBack"/>
      <w:r>
        <w:rPr>
          <w:rFonts w:hint="eastAsia" w:ascii="仿宋_GB2312" w:hAnsi="仿宋_GB2312" w:eastAsia="仿宋_GB2312" w:cs="仿宋_GB2312"/>
          <w:b w:val="0"/>
          <w:bCs w:val="0"/>
          <w:color w:val="000000" w:themeColor="text1"/>
          <w:sz w:val="21"/>
          <w:szCs w:val="21"/>
          <w14:textFill>
            <w14:solidFill>
              <w14:schemeClr w14:val="tx1"/>
            </w14:solidFill>
          </w14:textFill>
        </w:rPr>
        <w:t>《现代交通港站枢纽规划与设计》，牟振华主编，人民交通出版社，2019年版</w:t>
      </w:r>
      <w:bookmarkEnd w:id="0"/>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本教材第二章第4节和第5节、第三章第5节、第四章第5节、第五章第5节、第六章、第九章</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内容，</w:t>
      </w:r>
      <w:r>
        <w:rPr>
          <w:rFonts w:hint="eastAsia" w:ascii="仿宋_GB2312" w:hAnsi="仿宋_GB2312" w:eastAsia="仿宋_GB2312" w:cs="仿宋_GB2312"/>
          <w:b w:val="0"/>
          <w:bCs w:val="0"/>
          <w:color w:val="000000" w:themeColor="text1"/>
          <w:sz w:val="21"/>
          <w:szCs w:val="21"/>
          <w14:textFill>
            <w14:solidFill>
              <w14:schemeClr w14:val="tx1"/>
            </w14:solidFill>
          </w14:textFill>
        </w:rPr>
        <w:t>考生可根据个人能力兴趣学习，不纳入考核范围。</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四、关于自学要求和自学方法的指导</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为有效地指导个人自学和社会助学，本大纲已指明了课程的重点和难点，在章节的基本要求中一般也指明了章节内容的重点和难点。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由于成人学习的个性化特点，建议业余自学时间不低于90个学时。</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建议学习本课程时注意以下几点：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1.在学习本课程教材之前，应先仔细阅读本大纲，了解本课程的性质和特点，熟知本课程的基本要求，在学习本课程时，能紧紧围绕本课程的基本要求。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2.在自学每一章的教材之前，先阅读本大纲中对应章节的学习目的与要求、考核知识点与考核要求，以使在自学时做到心中有数。</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考试前梳理已经学习过的内容，搞清楚一些基本概念、理论及方法之间的关系，便于记忆、加深理解，从而掌握分析计算方法。例如第七章，首先明确机场、跑道、滑行道和停机坪等概念，搞清楚各设施之间的功能作用和衔接关系，即可掌握航站区的布局规划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学习交通港站枢纽的目的是能够对交通港站与枢纽的功能、类别、定位等有深入的熟悉与了解，学习过程中除要学习课程书本知识之外，实地探访学习是学习港站枢纽最有效的途径，为此，建议考生加强港站枢纽实地探访，提升探索能力，能在实地探访学习中深化教材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五</w:t>
      </w:r>
      <w:r>
        <w:rPr>
          <w:rFonts w:hint="eastAsia" w:ascii="仿宋_GB2312" w:hAnsi="仿宋_GB2312" w:eastAsia="仿宋_GB2312" w:cs="仿宋_GB2312"/>
          <w:b w:val="0"/>
          <w:bCs w:val="0"/>
          <w:color w:val="000000" w:themeColor="text1"/>
          <w:sz w:val="21"/>
          <w:szCs w:val="21"/>
          <w14:textFill>
            <w14:solidFill>
              <w14:schemeClr w14:val="tx1"/>
            </w14:solidFill>
          </w14:textFill>
        </w:rPr>
        <w:t>、对社会助学的要求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对担任本课程自学助学的任课教师和自学助学单位提出以下几条基本要求。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1.熟知本课程考试大纲的各项要求，熟悉各章节的考核知识点。</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2.辅导教学以大纲为依据，不要随意删减内容，以免偏离大纲。</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3.辅导还要注意突出重点，要帮助学生对课程内容建立一个整体的概念。</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助学者在辅导时应帮助自学者梳理重点内容和一般内容之间的关系，在他们全面掌握全部考试内容的基础上，深入交通枢纽分类、交通枢纽基础调查流程、交通需求分析和预测方法、现代交通枢纽布局方法、交通流线分析与设计、交通流线疏解和公路货运枢纽功能布局设计等重点内容，注意本课程物流中心选址、客运枢纽布局与规划和货运枢纽规划等内容的系统性。</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5.辅导要为考生提供足够多的实地探访学习机会，让学生能够通过实地探访学习进一步深化相关知识。</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建议本课程考纲内容学时如下：</w:t>
      </w:r>
    </w:p>
    <w:tbl>
      <w:tblPr>
        <w:tblStyle w:val="8"/>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章次</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学习内容</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第1章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交通港站与枢纽概述</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第2章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交通枢纽规划基础调查</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第3章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交通枢纽需求预测分析</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第4章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交通枢纽的布局规划原理</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第5章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交通流线分析与设计</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第6章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货运枢纽与物流中心规划</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第7章</w:t>
            </w:r>
          </w:p>
        </w:tc>
        <w:tc>
          <w:tcPr>
            <w:tcW w:w="4310"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客运交通枢纽功能布局与设施规划</w:t>
            </w:r>
          </w:p>
        </w:tc>
        <w:tc>
          <w:tcPr>
            <w:tcW w:w="2048" w:type="dxa"/>
          </w:tcPr>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w:t>
            </w:r>
          </w:p>
        </w:tc>
      </w:tr>
    </w:tbl>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六、</w:t>
      </w:r>
      <w:r>
        <w:rPr>
          <w:rFonts w:hint="eastAsia" w:ascii="仿宋_GB2312" w:hAnsi="仿宋_GB2312" w:eastAsia="仿宋_GB2312" w:cs="仿宋_GB2312"/>
          <w:b w:val="0"/>
          <w:bCs w:val="0"/>
          <w:color w:val="000000" w:themeColor="text1"/>
          <w:sz w:val="21"/>
          <w:szCs w:val="21"/>
          <w14:textFill>
            <w14:solidFill>
              <w14:schemeClr w14:val="tx1"/>
            </w14:solidFill>
          </w14:textFill>
        </w:rPr>
        <w:t>对考核内容的说明</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层次确定其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color w:val="000000" w:themeColor="text1"/>
          <w:sz w:val="21"/>
          <w:szCs w:val="21"/>
          <w14:textFill>
            <w14:solidFill>
              <w14:schemeClr w14:val="tx1"/>
            </w14:solidFill>
          </w14:textFill>
        </w:rPr>
        <w:t>。考试时只允许携带笔、橡皮和尺，答卷必须使用蓝色或黑色钢笔或签字笔书写。</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2.本大纲各章所规定的基本要求、知识点及知识点下的知识细目，都属于考核的内容。考试命题既要覆盖到章，又要避免面面俱到。要注意突出</w:t>
      </w:r>
      <w:r>
        <w:rPr>
          <w:rFonts w:hint="eastAsia" w:ascii="仿宋_GB2312" w:hAnsi="仿宋_GB2312" w:eastAsia="仿宋_GB2312" w:cs="仿宋_GB2312"/>
          <w:b w:val="0"/>
          <w:bCs w:val="0"/>
          <w:color w:val="000000" w:themeColor="text1"/>
          <w:sz w:val="21"/>
          <w:szCs w:val="21"/>
          <w:highlight w:val="none"/>
          <w14:textFill>
            <w14:solidFill>
              <w14:schemeClr w14:val="tx1"/>
            </w14:solidFill>
          </w14:textFill>
        </w:rPr>
        <w:t>课程的重点、章节重点，加大重点内容的覆盖度。</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4.本课程在试卷中对不同能力层次要求的分数比例大致为：识记占20%，领会占30%，简单应用占30%，综合应用占20%。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5.试题的难易程度分为4个等级：易、较易、较难和难四个等级。每份试卷中不同难度试题的分数比例一般为：易占20%，较易占30%，较难占</w:t>
      </w:r>
      <w:r>
        <w:rPr>
          <w:rFonts w:hint="eastAsia" w:ascii="仿宋_GB2312" w:hAnsi="仿宋_GB2312" w:eastAsia="仿宋_GB2312" w:cs="仿宋_GB2312"/>
          <w:b w:val="0"/>
          <w:bCs w:val="0"/>
          <w:color w:val="auto"/>
          <w:sz w:val="21"/>
          <w:szCs w:val="21"/>
          <w:lang w:val="en-US" w:eastAsia="zh-CN"/>
        </w:rPr>
        <w:t>3</w:t>
      </w:r>
      <w:r>
        <w:rPr>
          <w:rFonts w:hint="eastAsia" w:ascii="仿宋_GB2312" w:hAnsi="仿宋_GB2312" w:eastAsia="仿宋_GB2312" w:cs="仿宋_GB2312"/>
          <w:b w:val="0"/>
          <w:bCs w:val="0"/>
          <w:color w:val="auto"/>
          <w:sz w:val="21"/>
          <w:szCs w:val="21"/>
        </w:rPr>
        <w:t>0%，难占20%。</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必须注意试题的难易程度与能力层次有一定的联系，但两者不是等同的概念，在各个能力层次都有不同难度的试题。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w:t>
      </w:r>
      <w:r>
        <w:rPr>
          <w:rFonts w:hint="eastAsia" w:ascii="仿宋_GB2312" w:hAnsi="仿宋_GB2312" w:eastAsia="仿宋_GB2312" w:cs="仿宋_GB2312"/>
          <w:b w:val="0"/>
          <w:bCs w:val="0"/>
          <w:sz w:val="21"/>
          <w:szCs w:val="21"/>
        </w:rPr>
        <w:t>各种题型的具体样式参见本大纲附录。</w:t>
      </w:r>
    </w:p>
    <w:p>
      <w:pPr>
        <w:keepNext w:val="0"/>
        <w:keepLines w:val="0"/>
        <w:pageBreakBefore w:val="0"/>
        <w:widowControl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color w:val="000000" w:themeColor="text1"/>
          <w:sz w:val="21"/>
          <w:szCs w:val="21"/>
          <w14:textFill>
            <w14:solidFill>
              <w14:schemeClr w14:val="tx1"/>
            </w14:solidFill>
          </w14:textFill>
        </w:rPr>
      </w:pPr>
      <w:r>
        <w:rPr>
          <w:rFonts w:hint="eastAsia" w:ascii="仿宋_GB2312" w:hAnsi="仿宋_GB2312" w:eastAsia="仿宋_GB2312" w:cs="仿宋_GB2312"/>
          <w:b/>
          <w:bCs/>
          <w:color w:val="000000" w:themeColor="text1"/>
          <w:sz w:val="21"/>
          <w:szCs w:val="21"/>
          <w:lang w:val="en-US" w:eastAsia="zh-CN"/>
          <w14:textFill>
            <w14:solidFill>
              <w14:schemeClr w14:val="tx1"/>
            </w14:solidFill>
          </w14:textFill>
        </w:rPr>
        <w:t>附录 题型</w:t>
      </w:r>
      <w:r>
        <w:rPr>
          <w:rFonts w:hint="eastAsia" w:ascii="仿宋_GB2312" w:hAnsi="仿宋_GB2312" w:eastAsia="仿宋_GB2312" w:cs="仿宋_GB2312"/>
          <w:b/>
          <w:bCs/>
          <w:color w:val="000000" w:themeColor="text1"/>
          <w:sz w:val="21"/>
          <w:szCs w:val="21"/>
          <w14:textFill>
            <w14:solidFill>
              <w14:schemeClr w14:val="tx1"/>
            </w14:solidFill>
          </w14:textFill>
        </w:rPr>
        <w:t>举例</w:t>
      </w: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一、单项选择题（在每小题后的4个备选项中只有一个是符合题目要求的，请将其选出并填写在题后的括号内）</w:t>
      </w:r>
    </w:p>
    <w:p>
      <w:pPr>
        <w:keepNext w:val="0"/>
        <w:keepLines w:val="0"/>
        <w:pageBreakBefore w:val="0"/>
        <w:widowControl w:val="0"/>
        <w:tabs>
          <w:tab w:val="left" w:pos="312"/>
        </w:tabs>
        <w:kinsoku/>
        <w:wordWrap/>
        <w:overflowPunct/>
        <w:topLinePunct w:val="0"/>
        <w:autoSpaceDE/>
        <w:autoSpaceDN/>
        <w:bidi w:val="0"/>
        <w:snapToGrid w:val="0"/>
        <w:spacing w:line="240" w:lineRule="auto"/>
        <w:ind w:left="48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1.以下哪项不是交通枢纽的功能（  ） </w:t>
      </w:r>
    </w:p>
    <w:p>
      <w:pPr>
        <w:keepNext w:val="0"/>
        <w:keepLines w:val="0"/>
        <w:pageBreakBefore w:val="0"/>
        <w:widowControl w:val="0"/>
        <w:kinsoku/>
        <w:wordWrap/>
        <w:overflowPunct/>
        <w:topLinePunct w:val="0"/>
        <w:autoSpaceDE/>
        <w:autoSpaceDN/>
        <w:bidi w:val="0"/>
        <w:snapToGrid w:val="0"/>
        <w:spacing w:line="240" w:lineRule="auto"/>
        <w:ind w:right="0" w:rightChars="0" w:firstLine="48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A.换乘衔接功能               B.运输组织功能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C.引导开发功能               D.商业贸易功能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二、名词解释题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1.交通枢纽。</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三、简答题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1.简述附加交通量预测的主要方法。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四、论述题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1.以行人流线为例，试论述流线疏解的方式和具体疏解方法。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五、案例分析题</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 连徐客运专线作为国家"八纵八横"高铁网络重要组成部分，西起徐州，东至连云港。线路长179.59 km,设计速度350 km/h。现计划于邳州规划布局邳州市综合客运枢纽工程，集铁路、社会车辆、出租、公交、汽车客运于一体，作为徐连客专的主要站，同时作为邳州未来经济发展和城市门户的重要载体。根据上述资料，请试着以邳州市综合客运枢纽工程为例，阐述进行枢纽布局规划通常分为几个阶段，及各阶段的具体工作内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544149"/>
    <w:multiLevelType w:val="singleLevel"/>
    <w:tmpl w:val="39544149"/>
    <w:lvl w:ilvl="0" w:tentative="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2MjE4NTMzMDI4MzZjNDk4ZDY5NWE0MmU5ZTYyZDEifQ=="/>
  </w:docVars>
  <w:rsids>
    <w:rsidRoot w:val="00717C5E"/>
    <w:rsid w:val="00010669"/>
    <w:rsid w:val="000119AE"/>
    <w:rsid w:val="00084DB0"/>
    <w:rsid w:val="00097401"/>
    <w:rsid w:val="001027D5"/>
    <w:rsid w:val="00112796"/>
    <w:rsid w:val="0011493C"/>
    <w:rsid w:val="00141A32"/>
    <w:rsid w:val="00166A69"/>
    <w:rsid w:val="00172012"/>
    <w:rsid w:val="0018245E"/>
    <w:rsid w:val="00186189"/>
    <w:rsid w:val="001940E5"/>
    <w:rsid w:val="00194D0F"/>
    <w:rsid w:val="001D51B5"/>
    <w:rsid w:val="001E2B75"/>
    <w:rsid w:val="001E4EB0"/>
    <w:rsid w:val="0022609A"/>
    <w:rsid w:val="00227EC7"/>
    <w:rsid w:val="002412C9"/>
    <w:rsid w:val="002458E9"/>
    <w:rsid w:val="00264B7B"/>
    <w:rsid w:val="0028481A"/>
    <w:rsid w:val="00287B07"/>
    <w:rsid w:val="002E76FD"/>
    <w:rsid w:val="00305885"/>
    <w:rsid w:val="0031478D"/>
    <w:rsid w:val="00324372"/>
    <w:rsid w:val="00334682"/>
    <w:rsid w:val="00354995"/>
    <w:rsid w:val="00397366"/>
    <w:rsid w:val="003A605C"/>
    <w:rsid w:val="003B1EF6"/>
    <w:rsid w:val="003B7D06"/>
    <w:rsid w:val="003C3E58"/>
    <w:rsid w:val="0040239C"/>
    <w:rsid w:val="004152ED"/>
    <w:rsid w:val="004172D6"/>
    <w:rsid w:val="0049494A"/>
    <w:rsid w:val="004A6602"/>
    <w:rsid w:val="004A7005"/>
    <w:rsid w:val="004B67BF"/>
    <w:rsid w:val="004C77FC"/>
    <w:rsid w:val="00520CB9"/>
    <w:rsid w:val="0052244A"/>
    <w:rsid w:val="00523570"/>
    <w:rsid w:val="005269FA"/>
    <w:rsid w:val="00547FD0"/>
    <w:rsid w:val="00555D50"/>
    <w:rsid w:val="00562AF3"/>
    <w:rsid w:val="005636AA"/>
    <w:rsid w:val="0056712E"/>
    <w:rsid w:val="00582DF1"/>
    <w:rsid w:val="00595E11"/>
    <w:rsid w:val="005A75DF"/>
    <w:rsid w:val="005B40AE"/>
    <w:rsid w:val="005F128B"/>
    <w:rsid w:val="00651AAF"/>
    <w:rsid w:val="006562B7"/>
    <w:rsid w:val="00657891"/>
    <w:rsid w:val="0066330D"/>
    <w:rsid w:val="00686963"/>
    <w:rsid w:val="00692F07"/>
    <w:rsid w:val="006946A5"/>
    <w:rsid w:val="006C5422"/>
    <w:rsid w:val="006C6B1A"/>
    <w:rsid w:val="006C7A4D"/>
    <w:rsid w:val="007100C3"/>
    <w:rsid w:val="00717C5E"/>
    <w:rsid w:val="007423C8"/>
    <w:rsid w:val="0078679B"/>
    <w:rsid w:val="00786DD4"/>
    <w:rsid w:val="007B75AD"/>
    <w:rsid w:val="007C0567"/>
    <w:rsid w:val="00807169"/>
    <w:rsid w:val="0082587F"/>
    <w:rsid w:val="00826F6A"/>
    <w:rsid w:val="00855EA9"/>
    <w:rsid w:val="008A5CAA"/>
    <w:rsid w:val="008B7253"/>
    <w:rsid w:val="008F46BD"/>
    <w:rsid w:val="009026BB"/>
    <w:rsid w:val="009B750F"/>
    <w:rsid w:val="009D6844"/>
    <w:rsid w:val="009E2FE0"/>
    <w:rsid w:val="009E5586"/>
    <w:rsid w:val="009F74E8"/>
    <w:rsid w:val="00A20249"/>
    <w:rsid w:val="00A22C10"/>
    <w:rsid w:val="00A4538B"/>
    <w:rsid w:val="00A570B3"/>
    <w:rsid w:val="00AA4C5C"/>
    <w:rsid w:val="00AA6B1E"/>
    <w:rsid w:val="00AB6A75"/>
    <w:rsid w:val="00AC1FB2"/>
    <w:rsid w:val="00AC3E48"/>
    <w:rsid w:val="00AE2EB1"/>
    <w:rsid w:val="00AF4843"/>
    <w:rsid w:val="00B1300A"/>
    <w:rsid w:val="00B13A81"/>
    <w:rsid w:val="00B23A2B"/>
    <w:rsid w:val="00B70204"/>
    <w:rsid w:val="00B768B0"/>
    <w:rsid w:val="00BD7393"/>
    <w:rsid w:val="00BE1E64"/>
    <w:rsid w:val="00BF18AA"/>
    <w:rsid w:val="00C15152"/>
    <w:rsid w:val="00C51032"/>
    <w:rsid w:val="00C85807"/>
    <w:rsid w:val="00C960D3"/>
    <w:rsid w:val="00CC4312"/>
    <w:rsid w:val="00CF25B8"/>
    <w:rsid w:val="00D60215"/>
    <w:rsid w:val="00DA6781"/>
    <w:rsid w:val="00E22F94"/>
    <w:rsid w:val="00E34393"/>
    <w:rsid w:val="00E605F2"/>
    <w:rsid w:val="00E913C9"/>
    <w:rsid w:val="00EB4B26"/>
    <w:rsid w:val="00EC51FB"/>
    <w:rsid w:val="00EC5D44"/>
    <w:rsid w:val="00ED65C3"/>
    <w:rsid w:val="00EF3EE1"/>
    <w:rsid w:val="00EF4864"/>
    <w:rsid w:val="00EF69DD"/>
    <w:rsid w:val="00F03E09"/>
    <w:rsid w:val="00F071FE"/>
    <w:rsid w:val="00F4087C"/>
    <w:rsid w:val="00F56F58"/>
    <w:rsid w:val="00F60A7F"/>
    <w:rsid w:val="00F84017"/>
    <w:rsid w:val="00F913AD"/>
    <w:rsid w:val="00FA3990"/>
    <w:rsid w:val="00FB00C3"/>
    <w:rsid w:val="00FB1BB0"/>
    <w:rsid w:val="00FB5B19"/>
    <w:rsid w:val="00FD0823"/>
    <w:rsid w:val="00FF5A49"/>
    <w:rsid w:val="03577DA5"/>
    <w:rsid w:val="05D467B0"/>
    <w:rsid w:val="06712BB6"/>
    <w:rsid w:val="0884385E"/>
    <w:rsid w:val="0A564D38"/>
    <w:rsid w:val="0B204BAA"/>
    <w:rsid w:val="0BEF4A36"/>
    <w:rsid w:val="0DA10FD1"/>
    <w:rsid w:val="0DD84FC2"/>
    <w:rsid w:val="0E2D618E"/>
    <w:rsid w:val="0F957915"/>
    <w:rsid w:val="0FCD5301"/>
    <w:rsid w:val="19876DE5"/>
    <w:rsid w:val="1B2E6E70"/>
    <w:rsid w:val="1CB93381"/>
    <w:rsid w:val="1D7E5E8C"/>
    <w:rsid w:val="1DB166E9"/>
    <w:rsid w:val="2419690F"/>
    <w:rsid w:val="24526AA0"/>
    <w:rsid w:val="25437DDB"/>
    <w:rsid w:val="26B40B71"/>
    <w:rsid w:val="275A1718"/>
    <w:rsid w:val="290C6955"/>
    <w:rsid w:val="2B6F5509"/>
    <w:rsid w:val="2F827A5E"/>
    <w:rsid w:val="3159738D"/>
    <w:rsid w:val="33352BFD"/>
    <w:rsid w:val="354A647F"/>
    <w:rsid w:val="35555B77"/>
    <w:rsid w:val="398A41CF"/>
    <w:rsid w:val="3EEB0A50"/>
    <w:rsid w:val="41C9151C"/>
    <w:rsid w:val="43B53622"/>
    <w:rsid w:val="49261002"/>
    <w:rsid w:val="4D6665A9"/>
    <w:rsid w:val="508605D9"/>
    <w:rsid w:val="52CD24EF"/>
    <w:rsid w:val="579B14B0"/>
    <w:rsid w:val="581A550C"/>
    <w:rsid w:val="5F9C5723"/>
    <w:rsid w:val="60A476E6"/>
    <w:rsid w:val="66DE39E9"/>
    <w:rsid w:val="671604B0"/>
    <w:rsid w:val="67D55C76"/>
    <w:rsid w:val="692E22C1"/>
    <w:rsid w:val="6A3521F4"/>
    <w:rsid w:val="70F53A54"/>
    <w:rsid w:val="75963FB1"/>
    <w:rsid w:val="774F3472"/>
    <w:rsid w:val="78710995"/>
    <w:rsid w:val="7D257E1F"/>
    <w:rsid w:val="7E417769"/>
    <w:rsid w:val="7F78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style>
  <w:style w:type="paragraph" w:styleId="3">
    <w:name w:val="Balloon Text"/>
    <w:basedOn w:val="1"/>
    <w:link w:val="12"/>
    <w:qFormat/>
    <w:uiPriority w:val="0"/>
    <w:rPr>
      <w:sz w:val="18"/>
      <w:szCs w:val="18"/>
    </w:rPr>
  </w:style>
  <w:style w:type="paragraph" w:styleId="4">
    <w:name w:val="footer"/>
    <w:basedOn w:val="1"/>
    <w:link w:val="10"/>
    <w:qFormat/>
    <w:uiPriority w:val="0"/>
    <w:pPr>
      <w:tabs>
        <w:tab w:val="center" w:pos="4513"/>
        <w:tab w:val="right" w:pos="9026"/>
      </w:tabs>
      <w:snapToGrid w:val="0"/>
      <w:jc w:val="left"/>
    </w:pPr>
    <w:rPr>
      <w:sz w:val="18"/>
      <w:szCs w:val="18"/>
    </w:rPr>
  </w:style>
  <w:style w:type="paragraph" w:styleId="5">
    <w:name w:val="header"/>
    <w:basedOn w:val="1"/>
    <w:link w:val="9"/>
    <w:qFormat/>
    <w:uiPriority w:val="0"/>
    <w:pPr>
      <w:pBdr>
        <w:bottom w:val="single" w:color="auto" w:sz="6" w:space="1"/>
      </w:pBdr>
      <w:tabs>
        <w:tab w:val="center" w:pos="4513"/>
        <w:tab w:val="right" w:pos="902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
    <w:name w:val="页眉 字符"/>
    <w:basedOn w:val="6"/>
    <w:link w:val="5"/>
    <w:qFormat/>
    <w:uiPriority w:val="0"/>
    <w:rPr>
      <w:rFonts w:ascii="Times New Roman" w:hAnsi="Times New Roman" w:eastAsia="宋体" w:cs="Times New Roman"/>
      <w:kern w:val="2"/>
      <w:sz w:val="18"/>
      <w:szCs w:val="18"/>
    </w:rPr>
  </w:style>
  <w:style w:type="character" w:customStyle="1" w:styleId="10">
    <w:name w:val="页脚 字符"/>
    <w:basedOn w:val="6"/>
    <w:link w:val="4"/>
    <w:qFormat/>
    <w:uiPriority w:val="0"/>
    <w:rPr>
      <w:rFonts w:ascii="Times New Roman" w:hAnsi="Times New Roman" w:eastAsia="宋体" w:cs="Times New Roman"/>
      <w:kern w:val="2"/>
      <w:sz w:val="18"/>
      <w:szCs w:val="18"/>
    </w:rPr>
  </w:style>
  <w:style w:type="paragraph" w:customStyle="1" w:styleId="11">
    <w:name w:val="List Paragraph"/>
    <w:basedOn w:val="1"/>
    <w:qFormat/>
    <w:uiPriority w:val="99"/>
    <w:pPr>
      <w:ind w:firstLine="420"/>
    </w:pPr>
  </w:style>
  <w:style w:type="character" w:customStyle="1" w:styleId="12">
    <w:name w:val="批注框文本 字符"/>
    <w:basedOn w:val="6"/>
    <w:link w:val="3"/>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8166</Words>
  <Characters>8289</Characters>
  <Lines>66</Lines>
  <Paragraphs>18</Paragraphs>
  <TotalTime>0</TotalTime>
  <ScaleCrop>false</ScaleCrop>
  <LinksUpToDate>false</LinksUpToDate>
  <CharactersWithSpaces>8369</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2023-04-10T07:42:00Z</dcterms:created>
  <dc:creator>Administrator</dc:creator>
  <cp:lastModifiedBy>梁磊</cp:lastModifiedBy>
  <dcterms:modified xsi:type="dcterms:W3CDTF">2023-07-09T03:44:04Z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94726DADC6F24FDEB5F37D7035B4E7F9</vt:lpwstr>
  </property>
</Properties>
</file>