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《机械制图基础（本）》</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课程代码：13778</w:t>
      </w:r>
      <w:r>
        <w:rPr>
          <w:rFonts w:hint="eastAsia" w:ascii="仿宋_GB2312" w:hAnsi="仿宋_GB2312" w:eastAsia="仿宋_GB2312" w:cs="仿宋_GB2312"/>
          <w:b/>
          <w:bCs/>
          <w:sz w:val="21"/>
          <w:szCs w:val="21"/>
          <w:lang w:eastAsia="zh-CN"/>
        </w:rPr>
        <w:t>）</w:t>
      </w:r>
    </w:p>
    <w:p>
      <w:pPr>
        <w:keepNext w:val="0"/>
        <w:keepLines w:val="0"/>
        <w:pageBreakBefore w:val="0"/>
        <w:kinsoku/>
        <w:wordWrap/>
        <w:overflowPunct/>
        <w:topLinePunct w:val="0"/>
        <w:bidi w:val="0"/>
        <w:snapToGrid w:val="0"/>
        <w:spacing w:line="240" w:lineRule="auto"/>
        <w:ind w:right="0" w:rightChars="0" w:firstLine="420" w:firstLineChars="20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kinsoku/>
        <w:wordWrap/>
        <w:overflowPunct/>
        <w:topLinePunct w:val="0"/>
        <w:bidi w:val="0"/>
        <w:snapToGrid w:val="0"/>
        <w:spacing w:line="240" w:lineRule="auto"/>
        <w:ind w:right="0" w:rightChars="0"/>
        <w:jc w:val="center"/>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Ⅰ  课程性质与课程目标</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一、课程性质和特点</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 xml:space="preserve"> “机械制图基础（本）”是高等教育自学考试工业设计专业（专升本）考试计划中的一门</w:t>
      </w: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课程</w:t>
      </w:r>
      <w:r>
        <w:rPr>
          <w:rFonts w:hint="eastAsia" w:ascii="仿宋_GB2312" w:hAnsi="仿宋_GB2312" w:eastAsia="仿宋_GB2312" w:cs="仿宋_GB2312"/>
          <w:b w:val="0"/>
          <w:bCs w:val="0"/>
          <w:color w:val="000000" w:themeColor="text1"/>
          <w:sz w:val="21"/>
          <w:szCs w:val="21"/>
          <w14:textFill>
            <w14:solidFill>
              <w14:schemeClr w14:val="tx1"/>
            </w14:solidFill>
          </w14:textFill>
        </w:rPr>
        <w:t>。本课程是设计专业产品表达的基础，是设计专业课程体系中的基础课程之一。通过本课程学习，学生可以快速设计或阅读相关图纸，为学生后续课程的学习做准备，为进一步学习工业设计专业技能及知识打基础。</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机械制图基础（本）”是一门实践性很强的课程。学生需要正确应用正投影法的基本理论，熟练绘制和阅读机械图样。此外，学生还需要具备分析问题和解决问题的能力，以及认真负责的工作态度和严谨细致的工作作风。本课程涉及多种制图软件和绘图工具的应用，学生需要具备基本的电脑应用技能和绘图技巧。</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二、课程目标</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设置“机械制图基础（本）”课程的主要目的是使考生掌握绘制零件图与装配科的课程，也是设计专业学生必修的一门技术基础课。本课程的主要任务是利用正投影法的理论知识，培养对实际工程结构的表达能力和工程图样的识读能力，主要目的是培养绘制和阅读机械图样的能力及空间想象能力，为考生创新能力和工程意识的培养打下坚实的基础。其主要任务是：</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1.掌握正投影法的基本原理及性质。</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2.掌握点、直线及平面三面投影的性质、规律及应用。</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3.掌握平面立体及曲面立体三视图绘制方式及投影性质。</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4.掌握组合体读图、构型及尺寸标注的方法与应用。</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5.掌握及学习零件常用表达方式。</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6.掌握常用标准件联接方式及绘制规律。</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7.了解零件图读图及其工艺绘制方法。</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lang w:eastAsia="zh-TW"/>
        </w:rPr>
      </w:pPr>
      <w:r>
        <w:rPr>
          <w:rFonts w:hint="eastAsia" w:ascii="仿宋_GB2312" w:hAnsi="仿宋_GB2312" w:eastAsia="仿宋_GB2312" w:cs="仿宋_GB2312"/>
          <w:b w:val="0"/>
          <w:bCs w:val="0"/>
          <w:sz w:val="21"/>
          <w:szCs w:val="21"/>
        </w:rPr>
        <w:t>8.了解装配图读图及绘制方式。</w:t>
      </w:r>
    </w:p>
    <w:p>
      <w:pPr>
        <w:keepNext w:val="0"/>
        <w:keepLines w:val="0"/>
        <w:pageBreakBefore w:val="0"/>
        <w:kinsoku/>
        <w:wordWrap/>
        <w:overflowPunct/>
        <w:topLinePunct w:val="0"/>
        <w:bidi w:val="0"/>
        <w:snapToGrid w:val="0"/>
        <w:spacing w:line="240" w:lineRule="auto"/>
        <w:ind w:right="0" w:rightChars="0" w:firstLine="555"/>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sz w:val="21"/>
          <w:szCs w:val="21"/>
        </w:rPr>
        <w:t>三、与相关课程的联系与区别</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机械制图基础（本）”课程是设计专业课程体系中的基础课程之一。通过本课程学习，学生可以快速设计或阅读相关图纸，为学生后续课程的学习做准备，为进一步学习工业设计专业技能及知识打基础。与此同时，“机械制图基础”课程与其他相关课程有着密切的联系。本课程与“产品造型设计”、“计算机辅助设计”等课程有着很大的关联。通过本课程的学习，学生能够掌握基本的绘图技能和制图方法，为学习这些相关课程打下坚实的基础。</w:t>
      </w:r>
    </w:p>
    <w:p>
      <w:pPr>
        <w:keepNext w:val="0"/>
        <w:keepLines w:val="0"/>
        <w:pageBreakBefore w:val="0"/>
        <w:numPr>
          <w:ilvl w:val="0"/>
          <w:numId w:val="1"/>
        </w:numPr>
        <w:kinsoku/>
        <w:wordWrap/>
        <w:overflowPunct/>
        <w:topLinePunct w:val="0"/>
        <w:bidi w:val="0"/>
        <w:snapToGrid w:val="0"/>
        <w:spacing w:line="240" w:lineRule="auto"/>
        <w:ind w:right="0" w:rightChars="0" w:firstLine="48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 xml:space="preserve">课程的重点和难点 </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课程的重点在于掌握绘制产品相关图纸的内容，包括制图的基本知识、正投影的基本原理、基本形体的投影与立体表面交线、组合体、工程图样的表达方法、标准件和常用件以及零件图等内容。学生需要掌握和灵活运用各种表达方法，能够快速、准确地将产品表达出来，并且能够标注尺寸和技术要求。</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难点在于理解和掌握正投影法的原理和应用。此外，学生需要具备对三维形状的空间想象能力，能够将三维物体的形状和位置转换为二维图形，并且能够准确地理解和表达三维物体的形状和位置</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kinsoku/>
        <w:wordWrap/>
        <w:overflowPunct/>
        <w:topLinePunct w:val="0"/>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Ⅱ  考核目标</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本大纲的考核目标是要求学生达到三个能力层次要求，即“识记”、“领会”、“应用”三个层次。这三个层次分别对应着基本的认知、理解和实际操作能力。具体含义如下：</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识记：学生需要能够识别和记忆有关的正投影概念及其含义，并能够根据考核要求正确地表达、选择和判断。识记是学习的基础，是学生理解和掌握本课程知识的必要前提。</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在识记的基础上，学生需要理解基本形体的投影与立体表面交线、组合体的绘图方法的原理，并且能够通过六个视图、各类剖视和断面图的选择，将复杂的产品零件能够快速地表达出来。领会是学生深入理解本课程知识的重要过程，是能力提升的重要环节。</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r>
        <w:rPr>
          <w:rFonts w:hint="eastAsia" w:ascii="仿宋_GB2312" w:hAnsi="仿宋_GB2312" w:eastAsia="仿宋_GB2312" w:cs="仿宋_GB2312"/>
          <w:b w:val="0"/>
          <w:bCs w:val="0"/>
          <w:color w:val="000000" w:themeColor="text1"/>
          <w:sz w:val="21"/>
          <w:szCs w:val="21"/>
          <w14:textFill>
            <w14:solidFill>
              <w14:schemeClr w14:val="tx1"/>
            </w14:solidFill>
          </w14:textFill>
        </w:rPr>
        <w:t>在理解的基础上，学生需要能够运用装配图视图选择及特殊表达方法、装配工艺结构，绘制和阅读装配图，并且能够从由装配图拆画出任一个产品零件图。应用是学生将知识应用到实际工作中的关键，是学生在工作中展现自己能力的必要条件</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firstLine="422" w:firstLineChars="200"/>
        <w:jc w:val="center"/>
        <w:rPr>
          <w:rFonts w:hint="eastAsia" w:ascii="仿宋_GB2312" w:hAnsi="仿宋_GB2312" w:eastAsia="仿宋_GB2312" w:cs="仿宋_GB2312"/>
          <w:b/>
          <w:bCs/>
          <w:color w:val="FF0000"/>
          <w:sz w:val="21"/>
          <w:szCs w:val="21"/>
        </w:rPr>
      </w:pPr>
      <w:r>
        <w:rPr>
          <w:rFonts w:hint="eastAsia" w:ascii="仿宋_GB2312" w:hAnsi="仿宋_GB2312" w:eastAsia="仿宋_GB2312" w:cs="仿宋_GB2312"/>
          <w:b/>
          <w:bCs/>
          <w:sz w:val="21"/>
          <w:szCs w:val="21"/>
        </w:rPr>
        <w:t>Ⅲ  课程内容与考核要求</w:t>
      </w:r>
    </w:p>
    <w:p>
      <w:pPr>
        <w:keepNext w:val="0"/>
        <w:keepLines w:val="0"/>
        <w:pageBreakBefore w:val="0"/>
        <w:numPr>
          <w:ilvl w:val="0"/>
          <w:numId w:val="2"/>
        </w:numPr>
        <w:kinsoku/>
        <w:wordWrap/>
        <w:overflowPunct/>
        <w:topLinePunct w:val="0"/>
        <w:bidi w:val="0"/>
        <w:snapToGrid w:val="0"/>
        <w:spacing w:line="240" w:lineRule="auto"/>
        <w:ind w:right="0" w:rightChars="0" w:firstLine="420" w:firstLineChars="20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制图的基本知识</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本章学习目标:了解工程制图中必须遵循的国家标准的有关规定，掌握基本的几何作图方法。</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本章学习内容:国家标准《技术制图》和《机械制图》的有关规定，制图工具及其使用方法，常用的几何作图原理和方法，平面图形的尺寸分析和绘制方法，徒手绘制平面图形的方法。</w:t>
      </w:r>
    </w:p>
    <w:p>
      <w:pPr>
        <w:keepNext w:val="0"/>
        <w:keepLines w:val="0"/>
        <w:pageBreakBefore w:val="0"/>
        <w:numPr>
          <w:ilvl w:val="0"/>
          <w:numId w:val="3"/>
        </w:numPr>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课程内容</w:t>
      </w:r>
    </w:p>
    <w:p>
      <w:pPr>
        <w:pStyle w:val="11"/>
        <w:keepNext w:val="0"/>
        <w:keepLines w:val="0"/>
        <w:pageBreakBefore w:val="0"/>
        <w:numPr>
          <w:ilvl w:val="1"/>
          <w:numId w:val="4"/>
        </w:numPr>
        <w:kinsoku/>
        <w:wordWrap/>
        <w:overflowPunct/>
        <w:topLinePunct w:val="0"/>
        <w:bidi w:val="0"/>
        <w:snapToGrid w:val="0"/>
        <w:spacing w:line="240" w:lineRule="auto"/>
        <w:ind w:right="0" w:rightChars="0" w:firstLineChars="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国家标准的基本规定</w:t>
      </w:r>
    </w:p>
    <w:p>
      <w:pPr>
        <w:pStyle w:val="11"/>
        <w:keepNext w:val="0"/>
        <w:keepLines w:val="0"/>
        <w:pageBreakBefore w:val="0"/>
        <w:numPr>
          <w:ilvl w:val="1"/>
          <w:numId w:val="4"/>
        </w:numPr>
        <w:kinsoku/>
        <w:wordWrap/>
        <w:overflowPunct/>
        <w:topLinePunct w:val="0"/>
        <w:bidi w:val="0"/>
        <w:snapToGrid w:val="0"/>
        <w:spacing w:line="240" w:lineRule="auto"/>
        <w:ind w:right="0" w:rightChars="0" w:firstLineChars="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几何作图</w:t>
      </w:r>
    </w:p>
    <w:p>
      <w:pPr>
        <w:pStyle w:val="11"/>
        <w:keepNext w:val="0"/>
        <w:keepLines w:val="0"/>
        <w:pageBreakBefore w:val="0"/>
        <w:numPr>
          <w:ilvl w:val="1"/>
          <w:numId w:val="4"/>
        </w:numPr>
        <w:kinsoku/>
        <w:wordWrap/>
        <w:overflowPunct/>
        <w:topLinePunct w:val="0"/>
        <w:bidi w:val="0"/>
        <w:snapToGrid w:val="0"/>
        <w:spacing w:line="240" w:lineRule="auto"/>
        <w:ind w:right="0" w:rightChars="0" w:firstLineChars="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平面图形的作图方法及尺寸标注</w:t>
      </w:r>
    </w:p>
    <w:p>
      <w:pPr>
        <w:pStyle w:val="11"/>
        <w:keepNext w:val="0"/>
        <w:keepLines w:val="0"/>
        <w:pageBreakBefore w:val="0"/>
        <w:numPr>
          <w:ilvl w:val="0"/>
          <w:numId w:val="5"/>
        </w:numPr>
        <w:kinsoku/>
        <w:wordWrap/>
        <w:overflowPunct/>
        <w:topLinePunct w:val="0"/>
        <w:bidi w:val="0"/>
        <w:snapToGrid w:val="0"/>
        <w:spacing w:line="240" w:lineRule="auto"/>
        <w:ind w:right="0" w:rightChars="0" w:firstLineChars="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考核知识点与考核要求</w:t>
      </w:r>
    </w:p>
    <w:p>
      <w:pPr>
        <w:pStyle w:val="11"/>
        <w:keepNext w:val="0"/>
        <w:keepLines w:val="0"/>
        <w:pageBreakBefore w:val="0"/>
        <w:kinsoku/>
        <w:wordWrap/>
        <w:overflowPunct/>
        <w:topLinePunct w:val="0"/>
        <w:bidi w:val="0"/>
        <w:snapToGrid w:val="0"/>
        <w:spacing w:line="240" w:lineRule="auto"/>
        <w:ind w:left="240" w:right="0" w:rightChars="0" w:firstLine="210" w:firstLineChars="1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 国家标准的基本规定</w:t>
      </w:r>
    </w:p>
    <w:p>
      <w:pPr>
        <w:keepNext w:val="0"/>
        <w:keepLines w:val="0"/>
        <w:pageBreakBefore w:val="0"/>
        <w:kinsoku/>
        <w:wordWrap/>
        <w:overflowPunct/>
        <w:topLinePunct w:val="0"/>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识记：图纸、比例、字体、图线和尺寸标注</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w:t>
      </w:r>
      <w:r>
        <w:rPr>
          <w:rFonts w:hint="eastAsia" w:ascii="仿宋_GB2312" w:hAnsi="仿宋_GB2312" w:eastAsia="仿宋_GB2312" w:cs="仿宋_GB2312"/>
          <w:b w:val="0"/>
          <w:bCs w:val="0"/>
          <w:sz w:val="21"/>
          <w:szCs w:val="21"/>
        </w:rPr>
        <w:t>尺寸标注的基本规则和方法</w:t>
      </w:r>
      <w:r>
        <w:rPr>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（二）几何作图</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识记：斜度、锥度的画法与标注。</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领会：两圆外公切线的画法</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应用：圆弧连接</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（三）平面图形的作图方法及尺寸标注</w:t>
      </w:r>
    </w:p>
    <w:p>
      <w:pPr>
        <w:keepNext w:val="0"/>
        <w:keepLines w:val="0"/>
        <w:pageBreakBefore w:val="0"/>
        <w:kinsoku/>
        <w:wordWrap/>
        <w:overflowPunct/>
        <w:topLinePunct w:val="0"/>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识记：平面图形的尺寸分析、平面图形的线段分析</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领会：平面图形的作图步骤</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应用：平面图形的尺寸标注</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四、本章重点、难点</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重点：</w:t>
      </w:r>
      <w:r>
        <w:rPr>
          <w:rFonts w:hint="eastAsia" w:ascii="仿宋_GB2312" w:hAnsi="仿宋_GB2312" w:eastAsia="仿宋_GB2312" w:cs="仿宋_GB2312"/>
          <w:b w:val="0"/>
          <w:bCs w:val="0"/>
          <w:sz w:val="21"/>
          <w:szCs w:val="21"/>
        </w:rPr>
        <w:t>几何作图, 平面图形的分析和画法</w:t>
      </w:r>
      <w:r>
        <w:rPr>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难点：平面图形的尺寸标注</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kinsoku/>
        <w:wordWrap/>
        <w:overflowPunct/>
        <w:topLinePunct w:val="0"/>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第二章  正投影基本知识</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本章学习目标:了解三投影面体系，掌握点、直线、平面的投影持性。 </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学习要求:三投影面体系的建立;点的三面投影及其规律，两点的相对位置;各种位置直线的投影特点,直角三角形法求直线段的实长,两直线的相对位置;平面的各种表示法,各种位置平面的投影特点,直线与平面、平面与平面的相对位置。</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2.1 三投影面体系与三视图</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2.2 点的投影</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2.3 直线的投影</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2.4 平面的投影</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Style w:val="11"/>
        <w:keepNext w:val="0"/>
        <w:keepLines w:val="0"/>
        <w:pageBreakBefore w:val="0"/>
        <w:kinsoku/>
        <w:wordWrap/>
        <w:overflowPunct/>
        <w:topLinePunct w:val="0"/>
        <w:bidi w:val="0"/>
        <w:snapToGrid w:val="0"/>
        <w:spacing w:line="240" w:lineRule="auto"/>
        <w:ind w:left="240" w:right="0" w:rightChars="0" w:firstLine="210" w:firstLineChars="1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 xml:space="preserve">（一） </w:t>
      </w:r>
      <w:r>
        <w:rPr>
          <w:rStyle w:val="8"/>
          <w:rFonts w:hint="eastAsia" w:ascii="仿宋_GB2312" w:hAnsi="仿宋_GB2312" w:eastAsia="仿宋_GB2312" w:cs="仿宋_GB2312"/>
          <w:b w:val="0"/>
          <w:bCs w:val="0"/>
          <w:sz w:val="21"/>
          <w:szCs w:val="21"/>
        </w:rPr>
        <w:t>三投影面体系与三视图</w:t>
      </w:r>
    </w:p>
    <w:p>
      <w:pPr>
        <w:keepNext w:val="0"/>
        <w:keepLines w:val="0"/>
        <w:pageBreakBefore w:val="0"/>
        <w:kinsoku/>
        <w:wordWrap/>
        <w:overflowPunct/>
        <w:topLinePunct w:val="0"/>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w:t>
      </w:r>
      <w:r>
        <w:rPr>
          <w:rStyle w:val="8"/>
          <w:rFonts w:hint="eastAsia" w:ascii="仿宋_GB2312" w:hAnsi="仿宋_GB2312" w:eastAsia="仿宋_GB2312" w:cs="仿宋_GB2312"/>
          <w:b w:val="0"/>
          <w:bCs w:val="0"/>
          <w:sz w:val="21"/>
          <w:szCs w:val="21"/>
        </w:rPr>
        <w:t>三投影面体系与三视图概念</w:t>
      </w:r>
      <w:r>
        <w:rPr>
          <w:rStyle w:val="8"/>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w:t>
      </w:r>
      <w:r>
        <w:rPr>
          <w:rStyle w:val="8"/>
          <w:rFonts w:hint="eastAsia" w:ascii="仿宋_GB2312" w:hAnsi="仿宋_GB2312" w:eastAsia="仿宋_GB2312" w:cs="仿宋_GB2312"/>
          <w:b w:val="0"/>
          <w:bCs w:val="0"/>
          <w:sz w:val="21"/>
          <w:szCs w:val="21"/>
        </w:rPr>
        <w:t>三投影面体系与三视图对应关系</w:t>
      </w:r>
      <w:r>
        <w:rPr>
          <w:rStyle w:val="8"/>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w:t>
      </w:r>
      <w:r>
        <w:rPr>
          <w:rFonts w:hint="eastAsia" w:ascii="仿宋_GB2312" w:hAnsi="仿宋_GB2312" w:eastAsia="仿宋_GB2312" w:cs="仿宋_GB2312"/>
          <w:b w:val="0"/>
          <w:bCs w:val="0"/>
          <w:sz w:val="21"/>
          <w:szCs w:val="21"/>
        </w:rPr>
        <w:t>点的投影</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识记：点的三面投影。</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领会：点的投影规律</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应用：点的相对位置</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（三）直</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线</w:t>
      </w:r>
      <w:r>
        <w:rPr>
          <w:rFonts w:hint="eastAsia" w:ascii="仿宋_GB2312" w:hAnsi="仿宋_GB2312" w:eastAsia="仿宋_GB2312" w:cs="仿宋_GB2312"/>
          <w:b w:val="0"/>
          <w:bCs w:val="0"/>
          <w:sz w:val="21"/>
          <w:szCs w:val="21"/>
        </w:rPr>
        <w:t>的投影</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识记：直</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线</w:t>
      </w:r>
      <w:r>
        <w:rPr>
          <w:rFonts w:hint="eastAsia" w:ascii="仿宋_GB2312" w:hAnsi="仿宋_GB2312" w:eastAsia="仿宋_GB2312" w:cs="仿宋_GB2312"/>
          <w:b w:val="0"/>
          <w:bCs w:val="0"/>
          <w:color w:val="000000" w:themeColor="text1"/>
          <w:sz w:val="21"/>
          <w:szCs w:val="21"/>
          <w14:textFill>
            <w14:solidFill>
              <w14:schemeClr w14:val="tx1"/>
            </w14:solidFill>
          </w14:textFill>
        </w:rPr>
        <w:t>投影特点</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领会：直线上的点、两直线相对位置</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应用：通过直角三解形法可以确定一般直线的长度，以及与平面的夹角</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（四）平面的投影</w:t>
      </w:r>
    </w:p>
    <w:p>
      <w:pPr>
        <w:keepNext w:val="0"/>
        <w:keepLines w:val="0"/>
        <w:pageBreakBefore w:val="0"/>
        <w:kinsoku/>
        <w:wordWrap/>
        <w:overflowPunct/>
        <w:topLinePunct w:val="0"/>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识记：各种位置平面的投影特点</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领会：平面上的点、线、平面的投影面平行线</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bidi w:val="0"/>
        <w:snapToGrid w:val="0"/>
        <w:spacing w:line="240" w:lineRule="auto"/>
        <w:ind w:left="420" w:leftChars="200" w:right="0" w:rightChars="0" w:firstLine="0" w:firstLine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应用：直线与平面相交的交点及可见性判断；特殊平面与一般平面相交的交线及可见性判断</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tabs>
          <w:tab w:val="left" w:pos="1680"/>
        </w:tabs>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重点：点线面的投影、平面上的直线和点的投影求作方法</w:t>
      </w:r>
      <w:r>
        <w:rPr>
          <w:rFonts w:hint="eastAsia" w:ascii="仿宋_GB2312" w:hAnsi="仿宋_GB2312" w:eastAsia="仿宋_GB2312" w:cs="仿宋_GB2312"/>
          <w:b w:val="0"/>
          <w:bCs w:val="0"/>
          <w:sz w:val="21"/>
          <w:szCs w:val="21"/>
          <w:lang w:eastAsia="zh-CN"/>
        </w:rPr>
        <w:t>。</w:t>
      </w:r>
    </w:p>
    <w:p>
      <w:pPr>
        <w:keepNext w:val="0"/>
        <w:keepLines w:val="0"/>
        <w:pageBreakBefore w:val="0"/>
        <w:tabs>
          <w:tab w:val="left" w:pos="1680"/>
        </w:tabs>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难点：两直</w:t>
      </w:r>
      <w:r>
        <w:rPr>
          <w:rFonts w:hint="eastAsia" w:ascii="仿宋_GB2312" w:hAnsi="仿宋_GB2312" w:eastAsia="仿宋_GB2312" w:cs="仿宋_GB2312"/>
          <w:b w:val="0"/>
          <w:bCs w:val="0"/>
          <w:sz w:val="21"/>
          <w:szCs w:val="21"/>
          <w:lang w:eastAsia="zh-CN"/>
        </w:rPr>
        <w:t>线</w:t>
      </w:r>
      <w:r>
        <w:rPr>
          <w:rFonts w:hint="eastAsia" w:ascii="仿宋_GB2312" w:hAnsi="仿宋_GB2312" w:eastAsia="仿宋_GB2312" w:cs="仿宋_GB2312"/>
          <w:b w:val="0"/>
          <w:bCs w:val="0"/>
          <w:sz w:val="21"/>
          <w:szCs w:val="21"/>
        </w:rPr>
        <w:t>相交；平面与平面相交；平面的三面投影</w:t>
      </w:r>
      <w:r>
        <w:rPr>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p>
    <w:p>
      <w:pPr>
        <w:keepNext w:val="0"/>
        <w:keepLines w:val="0"/>
        <w:pageBreakBefore w:val="0"/>
        <w:numPr>
          <w:ilvl w:val="0"/>
          <w:numId w:val="0"/>
        </w:numPr>
        <w:kinsoku/>
        <w:wordWrap/>
        <w:overflowPunct/>
        <w:topLinePunct w:val="0"/>
        <w:bidi w:val="0"/>
        <w:snapToGrid w:val="0"/>
        <w:spacing w:line="240" w:lineRule="auto"/>
        <w:ind w:leftChars="200"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sz w:val="21"/>
          <w:szCs w:val="21"/>
          <w:lang w:eastAsia="zh-CN"/>
        </w:rPr>
        <w:t>第三章</w:t>
      </w:r>
      <w:r>
        <w:rPr>
          <w:rFonts w:hint="eastAsia" w:ascii="仿宋_GB2312" w:hAnsi="仿宋_GB2312" w:eastAsia="仿宋_GB2312" w:cs="仿宋_GB2312"/>
          <w:b w:val="0"/>
          <w:bCs w:val="0"/>
          <w:sz w:val="21"/>
          <w:szCs w:val="21"/>
          <w:lang w:val="en-US" w:eastAsia="zh-CN"/>
        </w:rPr>
        <w:t xml:space="preserve"> </w:t>
      </w:r>
      <w:r>
        <w:rPr>
          <w:rFonts w:hint="eastAsia" w:ascii="仿宋_GB2312" w:hAnsi="仿宋_GB2312" w:eastAsia="仿宋_GB2312" w:cs="仿宋_GB2312"/>
          <w:b w:val="0"/>
          <w:bCs w:val="0"/>
          <w:sz w:val="21"/>
          <w:szCs w:val="21"/>
        </w:rPr>
        <w:t xml:space="preserve"> </w:t>
      </w:r>
      <w:r>
        <w:rPr>
          <w:rFonts w:hint="eastAsia" w:ascii="仿宋_GB2312" w:hAnsi="仿宋_GB2312" w:eastAsia="仿宋_GB2312" w:cs="仿宋_GB2312"/>
          <w:b w:val="0"/>
          <w:bCs w:val="0"/>
          <w:color w:val="000000" w:themeColor="text1"/>
          <w:sz w:val="21"/>
          <w:szCs w:val="21"/>
          <w14:textFill>
            <w14:solidFill>
              <w14:schemeClr w14:val="tx1"/>
            </w14:solidFill>
          </w14:textFill>
        </w:rPr>
        <w:t>基本形体的投影与立体表面交线</w:t>
      </w:r>
    </w:p>
    <w:p>
      <w:pPr>
        <w:keepNext w:val="0"/>
        <w:keepLines w:val="0"/>
        <w:pageBreakBefore w:val="0"/>
        <w:numPr>
          <w:ilvl w:val="0"/>
          <w:numId w:val="0"/>
        </w:numPr>
        <w:kinsoku/>
        <w:wordWrap/>
        <w:overflowPunct/>
        <w:topLinePunct w:val="0"/>
        <w:bidi w:val="0"/>
        <w:snapToGrid w:val="0"/>
        <w:spacing w:line="240" w:lineRule="auto"/>
        <w:ind w:leftChars="200" w:right="0" w:rightChars="0"/>
        <w:jc w:val="both"/>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本章学习目标:了解基本形体的形成、投影和表面取点知识，掌握平面切割立体所产生的截交线的性质及投影特点、作图方法，掌握立体与立体表面相交所产生的相贯线的性质及投影特点、作图方法。</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学习要求:在研究点、线、面投影的基础上进一步讨论基本形体(平面立体和曲面立体)的形成、投影特点和表面取点方法，平面切割立体所产生的截交线的性质、投影特点和作图方法，立体和立体表面相交所产生的相贯线的性质、投影特点和作图方法。</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3.1 平面立体投影、表面取点及平面体切割</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3.2 曲面立体投影、表面取点及曲面体切割</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3.3 立体与立体相交</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Style w:val="11"/>
        <w:keepNext w:val="0"/>
        <w:keepLines w:val="0"/>
        <w:pageBreakBefore w:val="0"/>
        <w:kinsoku/>
        <w:wordWrap/>
        <w:overflowPunct/>
        <w:topLinePunct w:val="0"/>
        <w:bidi w:val="0"/>
        <w:snapToGrid w:val="0"/>
        <w:spacing w:line="240" w:lineRule="auto"/>
        <w:ind w:left="240" w:right="0" w:rightChars="0" w:firstLine="210" w:firstLineChars="1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 xml:space="preserve">（一） </w:t>
      </w:r>
      <w:r>
        <w:rPr>
          <w:rFonts w:hint="eastAsia" w:ascii="仿宋_GB2312" w:hAnsi="仿宋_GB2312" w:eastAsia="仿宋_GB2312" w:cs="仿宋_GB2312"/>
          <w:b w:val="0"/>
          <w:bCs w:val="0"/>
          <w:sz w:val="21"/>
          <w:szCs w:val="21"/>
        </w:rPr>
        <w:t>平面立体投影、表面取点及平面体切割</w:t>
      </w:r>
    </w:p>
    <w:p>
      <w:pPr>
        <w:keepNext w:val="0"/>
        <w:keepLines w:val="0"/>
        <w:pageBreakBefore w:val="0"/>
        <w:kinsoku/>
        <w:wordWrap/>
        <w:overflowPunct/>
        <w:topLinePunct w:val="0"/>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识记：棱柱的投影与表面取点、棱锥的投影与表面取点</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领会：平面体切割</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应用：棱柱或棱锥被平面体切割的投影</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w:t>
      </w:r>
      <w:r>
        <w:rPr>
          <w:rFonts w:hint="eastAsia" w:ascii="仿宋_GB2312" w:hAnsi="仿宋_GB2312" w:eastAsia="仿宋_GB2312" w:cs="仿宋_GB2312"/>
          <w:b w:val="0"/>
          <w:bCs w:val="0"/>
          <w:sz w:val="21"/>
          <w:szCs w:val="21"/>
        </w:rPr>
        <w:t>曲面立体投影、表面取点及曲面体切割</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w:t>
      </w:r>
      <w:r>
        <w:rPr>
          <w:rFonts w:hint="eastAsia" w:ascii="仿宋_GB2312" w:hAnsi="仿宋_GB2312" w:eastAsia="仿宋_GB2312" w:cs="仿宋_GB2312"/>
          <w:b w:val="0"/>
          <w:bCs w:val="0"/>
          <w:sz w:val="21"/>
          <w:szCs w:val="21"/>
        </w:rPr>
        <w:t>曲面立体（圆柱、圆锥、球体）的投影特性和作图方法；立体表面上点和直线的作图方法。</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w:t>
      </w:r>
      <w:r>
        <w:rPr>
          <w:rFonts w:hint="eastAsia" w:ascii="仿宋_GB2312" w:hAnsi="仿宋_GB2312" w:eastAsia="仿宋_GB2312" w:cs="仿宋_GB2312"/>
          <w:b w:val="0"/>
          <w:bCs w:val="0"/>
          <w:sz w:val="21"/>
          <w:szCs w:val="21"/>
        </w:rPr>
        <w:t>单个平面截切平面立体</w:t>
      </w:r>
      <w:r>
        <w:rPr>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应用：复合回转体切割</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（三）立体与立体相交</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w:t>
      </w:r>
      <w:r>
        <w:rPr>
          <w:rFonts w:hint="eastAsia" w:ascii="仿宋_GB2312" w:hAnsi="仿宋_GB2312" w:eastAsia="仿宋_GB2312" w:cs="仿宋_GB2312"/>
          <w:b w:val="0"/>
          <w:bCs w:val="0"/>
          <w:sz w:val="21"/>
          <w:szCs w:val="21"/>
        </w:rPr>
        <w:t>相贯线的概念及性质、平面与平面立体相交</w:t>
      </w:r>
      <w:r>
        <w:rPr>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w:t>
      </w:r>
      <w:r>
        <w:rPr>
          <w:rFonts w:hint="eastAsia" w:ascii="仿宋_GB2312" w:hAnsi="仿宋_GB2312" w:eastAsia="仿宋_GB2312" w:cs="仿宋_GB2312"/>
          <w:b w:val="0"/>
          <w:bCs w:val="0"/>
          <w:sz w:val="21"/>
          <w:szCs w:val="21"/>
        </w:rPr>
        <w:t>平面与曲面结合后、</w:t>
      </w:r>
      <w:r>
        <w:rPr>
          <w:rFonts w:hint="eastAsia" w:ascii="仿宋_GB2312" w:hAnsi="仿宋_GB2312" w:eastAsia="仿宋_GB2312" w:cs="仿宋_GB2312"/>
          <w:b w:val="0"/>
          <w:bCs w:val="0"/>
          <w:color w:val="000000" w:themeColor="text1"/>
          <w:sz w:val="21"/>
          <w:szCs w:val="21"/>
          <w14:textFill>
            <w14:solidFill>
              <w14:schemeClr w14:val="tx1"/>
            </w14:solidFill>
          </w14:textFill>
        </w:rPr>
        <w:t>两曲面立体相交</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应用：多个基本形体相交后面三面投影</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tabs>
          <w:tab w:val="left" w:pos="1680"/>
        </w:tabs>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重点：截交线的性质</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相贯线的性质</w:t>
      </w:r>
      <w:r>
        <w:rPr>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难点：立体与立体相交后不同情况相贯线的求作</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color w:val="000000" w:themeColor="text1"/>
          <w:sz w:val="21"/>
          <w:szCs w:val="21"/>
          <w14:textFill>
            <w14:solidFill>
              <w14:schemeClr w14:val="tx1"/>
            </w14:solidFill>
          </w14:textFill>
        </w:rPr>
        <w:t>复合转体切割或相</w:t>
      </w:r>
      <w:r>
        <w:rPr>
          <w:rFonts w:hint="eastAsia" w:ascii="仿宋_GB2312" w:hAnsi="仿宋_GB2312" w:eastAsia="仿宋_GB2312" w:cs="仿宋_GB2312"/>
          <w:b w:val="0"/>
          <w:bCs w:val="0"/>
          <w:sz w:val="21"/>
          <w:szCs w:val="21"/>
        </w:rPr>
        <w:t>贯</w:t>
      </w:r>
      <w:r>
        <w:rPr>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第四章  组合体</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本章学习目标:了解组合体的形成方式,掌握形体分析法、线面分析法阅读与绘制组合体视图。</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学习要求:本章是在学习正投影基本理论和制图基本知识的基础上,采用以形体分析为主、线面分析为辅的方法,研究组合体的构型方法、组合体三视图的投影特性、组合体画图和读图的方法以及组合体尺寸的标注方法等问题。</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4.1 组合体构型</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4.2 组合体画图</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4.3 组合体尺寸标注</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4.4 组合体读图</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Style w:val="11"/>
        <w:keepNext w:val="0"/>
        <w:keepLines w:val="0"/>
        <w:pageBreakBefore w:val="0"/>
        <w:kinsoku/>
        <w:wordWrap/>
        <w:overflowPunct/>
        <w:topLinePunct w:val="0"/>
        <w:bidi w:val="0"/>
        <w:snapToGrid w:val="0"/>
        <w:spacing w:line="240" w:lineRule="auto"/>
        <w:ind w:left="240" w:right="0" w:rightChars="0" w:firstLine="210" w:firstLineChars="1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 xml:space="preserve">（一） </w:t>
      </w:r>
      <w:r>
        <w:rPr>
          <w:rFonts w:hint="eastAsia" w:ascii="仿宋_GB2312" w:hAnsi="仿宋_GB2312" w:eastAsia="仿宋_GB2312" w:cs="仿宋_GB2312"/>
          <w:b w:val="0"/>
          <w:bCs w:val="0"/>
          <w:sz w:val="21"/>
          <w:szCs w:val="21"/>
        </w:rPr>
        <w:t>组合体构型</w:t>
      </w:r>
    </w:p>
    <w:p>
      <w:pPr>
        <w:keepNext w:val="0"/>
        <w:keepLines w:val="0"/>
        <w:pageBreakBefore w:val="0"/>
        <w:kinsoku/>
        <w:wordWrap/>
        <w:overflowPunct/>
        <w:topLinePunct w:val="0"/>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识记：组合体的组合形式</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领会：组合体的表面连接关系</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w:t>
      </w:r>
      <w:r>
        <w:rPr>
          <w:rFonts w:hint="eastAsia" w:ascii="仿宋_GB2312" w:hAnsi="仿宋_GB2312" w:eastAsia="仿宋_GB2312" w:cs="仿宋_GB2312"/>
          <w:b w:val="0"/>
          <w:bCs w:val="0"/>
          <w:sz w:val="21"/>
          <w:szCs w:val="21"/>
        </w:rPr>
        <w:t>组合体画图</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识记：形体分析法、线面分析法</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领会：形体分析法</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应用：形体分析法为主，线面分析法为辅进行分析</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w:t>
      </w:r>
      <w:r>
        <w:rPr>
          <w:rFonts w:hint="eastAsia" w:ascii="仿宋_GB2312" w:hAnsi="仿宋_GB2312" w:eastAsia="仿宋_GB2312" w:cs="仿宋_GB2312"/>
          <w:b w:val="0"/>
          <w:bCs w:val="0"/>
          <w:sz w:val="21"/>
          <w:szCs w:val="21"/>
        </w:rPr>
        <w:t>组合体尺寸标注</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识记：组合体尺寸的标注的基本要求、尺寸标注的清晰问题</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领会：基本形体的尺寸标注</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应用：组合体尺寸标注</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w:t>
      </w:r>
      <w:r>
        <w:rPr>
          <w:rFonts w:hint="eastAsia" w:ascii="仿宋_GB2312" w:hAnsi="仿宋_GB2312" w:eastAsia="仿宋_GB2312" w:cs="仿宋_GB2312"/>
          <w:b w:val="0"/>
          <w:bCs w:val="0"/>
          <w:sz w:val="21"/>
          <w:szCs w:val="21"/>
        </w:rPr>
        <w:t>组合体读图</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w:t>
      </w:r>
      <w:r>
        <w:rPr>
          <w:rFonts w:hint="eastAsia" w:ascii="仿宋_GB2312" w:hAnsi="仿宋_GB2312" w:eastAsia="仿宋_GB2312" w:cs="仿宋_GB2312"/>
          <w:b w:val="0"/>
          <w:bCs w:val="0"/>
          <w:sz w:val="21"/>
          <w:szCs w:val="21"/>
        </w:rPr>
        <w:t>组合体读图要点</w:t>
      </w:r>
      <w:r>
        <w:rPr>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w:t>
      </w:r>
      <w:r>
        <w:rPr>
          <w:rFonts w:hint="eastAsia" w:ascii="仿宋_GB2312" w:hAnsi="仿宋_GB2312" w:eastAsia="仿宋_GB2312" w:cs="仿宋_GB2312"/>
          <w:b w:val="0"/>
          <w:bCs w:val="0"/>
          <w:sz w:val="21"/>
          <w:szCs w:val="21"/>
        </w:rPr>
        <w:t>组合体读图方法</w:t>
      </w:r>
      <w:r>
        <w:rPr>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bidi w:val="0"/>
        <w:adjustRightInd/>
        <w:snapToGrid w:val="0"/>
        <w:spacing w:line="240" w:lineRule="auto"/>
        <w:ind w:left="0" w:right="0" w:rightChars="0" w:firstLine="420" w:firstLineChars="200"/>
        <w:jc w:val="left"/>
        <w:textAlignment w:val="auto"/>
        <w:rPr>
          <w:rFonts w:hint="eastAsia" w:ascii="仿宋_GB2312" w:hAnsi="仿宋_GB2312" w:eastAsia="仿宋_GB2312" w:cs="仿宋_GB2312"/>
          <w:b w:val="0"/>
          <w:bCs w:val="0"/>
          <w:color w:val="000000"/>
          <w:sz w:val="21"/>
          <w:szCs w:val="21"/>
          <w:lang w:eastAsia="zh-CN"/>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w:t>
      </w:r>
      <w:r>
        <w:rPr>
          <w:rFonts w:hint="eastAsia" w:ascii="仿宋_GB2312" w:hAnsi="仿宋_GB2312" w:eastAsia="仿宋_GB2312" w:cs="仿宋_GB2312"/>
          <w:b w:val="0"/>
          <w:bCs w:val="0"/>
          <w:sz w:val="21"/>
          <w:szCs w:val="21"/>
        </w:rPr>
        <w:t>组合体读图</w:t>
      </w:r>
      <w:r>
        <w:rPr>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重点：组合体组合形式及表面图线成影规律</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组合体尺寸标注</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含有相贯结构的组合体读图，及其三视图求作。</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难点：组合体尺寸标注</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含有立体相交的组合体三视图求作。</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numPr>
          <w:ilvl w:val="0"/>
          <w:numId w:val="6"/>
        </w:numPr>
        <w:kinsoku/>
        <w:wordWrap/>
        <w:overflowPunct/>
        <w:topLinePunct w:val="0"/>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工程图样的表达方法</w:t>
      </w:r>
    </w:p>
    <w:p>
      <w:pPr>
        <w:keepNext w:val="0"/>
        <w:keepLines w:val="0"/>
        <w:pageBreakBefore w:val="0"/>
        <w:numPr>
          <w:ilvl w:val="0"/>
          <w:numId w:val="0"/>
        </w:numPr>
        <w:kinsoku/>
        <w:wordWrap/>
        <w:overflowPunct/>
        <w:topLinePunct w:val="0"/>
        <w:bidi w:val="0"/>
        <w:snapToGrid w:val="0"/>
        <w:spacing w:line="240" w:lineRule="auto"/>
        <w:ind w:right="0" w:rightChars="0"/>
        <w:jc w:val="both"/>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本章学习目标:掌握采用视图表达机件的方法,掌握剖视图的表达方法和特点，掌握断面图的表达方法，了解常见的图样规定画法。</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本章学习要求:采用基本视图、向视图、局部视图等表达机件的方法,剖视图的原理和形成，采用全制视困、主制视困、局部剖视图等表达机件的方法，应用断面图、规定画法表达机件的方法。</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5.1 视图</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5.2 剖视图</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5.3 断面图</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5.4 规定画法和简化画法</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5.5 局部放大图</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Style w:val="11"/>
        <w:keepNext w:val="0"/>
        <w:keepLines w:val="0"/>
        <w:pageBreakBefore w:val="0"/>
        <w:kinsoku/>
        <w:wordWrap/>
        <w:overflowPunct/>
        <w:topLinePunct w:val="0"/>
        <w:bidi w:val="0"/>
        <w:snapToGrid w:val="0"/>
        <w:spacing w:line="240" w:lineRule="auto"/>
        <w:ind w:left="240" w:right="0" w:rightChars="0" w:firstLine="210" w:firstLineChars="1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 xml:space="preserve">（一） </w:t>
      </w:r>
      <w:r>
        <w:rPr>
          <w:rFonts w:hint="eastAsia" w:ascii="仿宋_GB2312" w:hAnsi="仿宋_GB2312" w:eastAsia="仿宋_GB2312" w:cs="仿宋_GB2312"/>
          <w:b w:val="0"/>
          <w:bCs w:val="0"/>
          <w:sz w:val="21"/>
          <w:szCs w:val="21"/>
        </w:rPr>
        <w:t>视图</w:t>
      </w:r>
    </w:p>
    <w:p>
      <w:pPr>
        <w:keepNext w:val="0"/>
        <w:keepLines w:val="0"/>
        <w:pageBreakBefore w:val="0"/>
        <w:kinsoku/>
        <w:wordWrap/>
        <w:overflowPunct/>
        <w:topLinePunct w:val="0"/>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w:t>
      </w:r>
      <w:r>
        <w:rPr>
          <w:rFonts w:hint="eastAsia" w:ascii="仿宋_GB2312" w:hAnsi="仿宋_GB2312" w:eastAsia="仿宋_GB2312" w:cs="仿宋_GB2312"/>
          <w:b w:val="0"/>
          <w:bCs w:val="0"/>
          <w:kern w:val="13"/>
          <w:sz w:val="21"/>
          <w:szCs w:val="21"/>
        </w:rPr>
        <w:t>基本视图</w:t>
      </w:r>
      <w:r>
        <w:rPr>
          <w:rFonts w:hint="eastAsia" w:ascii="仿宋_GB2312" w:hAnsi="仿宋_GB2312" w:eastAsia="仿宋_GB2312" w:cs="仿宋_GB2312"/>
          <w:b w:val="0"/>
          <w:bCs w:val="0"/>
          <w:color w:val="000000"/>
          <w:sz w:val="21"/>
          <w:szCs w:val="21"/>
        </w:rPr>
        <w:t>、向视图、局部视图、斜视图的表达方法</w:t>
      </w:r>
      <w:r>
        <w:rPr>
          <w:rFonts w:hint="eastAsia" w:ascii="仿宋_GB2312" w:hAnsi="仿宋_GB2312" w:eastAsia="仿宋_GB2312" w:cs="仿宋_GB2312"/>
          <w:b w:val="0"/>
          <w:bCs w:val="0"/>
          <w:color w:val="000000"/>
          <w:sz w:val="21"/>
          <w:szCs w:val="21"/>
          <w:lang w:eastAsia="zh-CN"/>
        </w:rPr>
        <w:t>。</w:t>
      </w:r>
    </w:p>
    <w:p>
      <w:pPr>
        <w:keepNext w:val="0"/>
        <w:keepLines w:val="0"/>
        <w:pageBreakBefore w:val="0"/>
        <w:kinsoku/>
        <w:wordWrap/>
        <w:overflowPunct/>
        <w:topLinePunct w:val="0"/>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w:t>
      </w:r>
      <w:r>
        <w:rPr>
          <w:rFonts w:hint="eastAsia" w:ascii="仿宋_GB2312" w:hAnsi="仿宋_GB2312" w:eastAsia="仿宋_GB2312" w:cs="仿宋_GB2312"/>
          <w:b w:val="0"/>
          <w:bCs w:val="0"/>
          <w:kern w:val="13"/>
          <w:sz w:val="21"/>
          <w:szCs w:val="21"/>
        </w:rPr>
        <w:t>基本视图</w:t>
      </w:r>
      <w:r>
        <w:rPr>
          <w:rFonts w:hint="eastAsia" w:ascii="仿宋_GB2312" w:hAnsi="仿宋_GB2312" w:eastAsia="仿宋_GB2312" w:cs="仿宋_GB2312"/>
          <w:b w:val="0"/>
          <w:bCs w:val="0"/>
          <w:color w:val="000000"/>
          <w:sz w:val="21"/>
          <w:szCs w:val="21"/>
        </w:rPr>
        <w:t>、向视图、局部视图、斜视图</w:t>
      </w:r>
      <w:r>
        <w:rPr>
          <w:rFonts w:hint="eastAsia" w:ascii="仿宋_GB2312" w:hAnsi="仿宋_GB2312" w:eastAsia="仿宋_GB2312" w:cs="仿宋_GB2312"/>
          <w:b w:val="0"/>
          <w:bCs w:val="0"/>
          <w:sz w:val="21"/>
          <w:szCs w:val="21"/>
        </w:rPr>
        <w:t>的绘制方式</w:t>
      </w:r>
      <w:r>
        <w:rPr>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w:t>
      </w:r>
      <w:r>
        <w:rPr>
          <w:rFonts w:hint="eastAsia" w:ascii="仿宋_GB2312" w:hAnsi="仿宋_GB2312" w:eastAsia="仿宋_GB2312" w:cs="仿宋_GB2312"/>
          <w:b w:val="0"/>
          <w:bCs w:val="0"/>
          <w:sz w:val="21"/>
          <w:szCs w:val="21"/>
        </w:rPr>
        <w:t>剖视图</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w:t>
      </w:r>
      <w:r>
        <w:rPr>
          <w:rFonts w:hint="eastAsia" w:ascii="仿宋_GB2312" w:hAnsi="仿宋_GB2312" w:eastAsia="仿宋_GB2312" w:cs="仿宋_GB2312"/>
          <w:b w:val="0"/>
          <w:bCs w:val="0"/>
          <w:sz w:val="21"/>
          <w:szCs w:val="21"/>
        </w:rPr>
        <w:t>剖视图概念</w:t>
      </w:r>
      <w:r>
        <w:rPr>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w:t>
      </w:r>
      <w:r>
        <w:rPr>
          <w:rFonts w:hint="eastAsia" w:ascii="仿宋_GB2312" w:hAnsi="仿宋_GB2312" w:eastAsia="仿宋_GB2312" w:cs="仿宋_GB2312"/>
          <w:b w:val="0"/>
          <w:bCs w:val="0"/>
          <w:sz w:val="21"/>
          <w:szCs w:val="21"/>
        </w:rPr>
        <w:t>剖视图的画法、剖视图的种类与绘制要求</w:t>
      </w:r>
      <w:r>
        <w:rPr>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应用：根据零件不同的特点，可以采用半</w:t>
      </w:r>
      <w:r>
        <w:rPr>
          <w:rFonts w:hint="eastAsia" w:ascii="仿宋_GB2312" w:hAnsi="仿宋_GB2312" w:eastAsia="仿宋_GB2312" w:cs="仿宋_GB2312"/>
          <w:b w:val="0"/>
          <w:bCs w:val="0"/>
          <w:sz w:val="21"/>
          <w:szCs w:val="21"/>
        </w:rPr>
        <w:t>剖视图、全剖视图、局剖视图等画法将零件清晰表达出来</w:t>
      </w:r>
      <w:r>
        <w:rPr>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w:t>
      </w:r>
      <w:r>
        <w:rPr>
          <w:rFonts w:hint="eastAsia" w:ascii="仿宋_GB2312" w:hAnsi="仿宋_GB2312" w:eastAsia="仿宋_GB2312" w:cs="仿宋_GB2312"/>
          <w:b w:val="0"/>
          <w:bCs w:val="0"/>
          <w:sz w:val="21"/>
          <w:szCs w:val="21"/>
        </w:rPr>
        <w:t>断面图</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w:t>
      </w:r>
      <w:r>
        <w:rPr>
          <w:rFonts w:hint="eastAsia" w:ascii="仿宋_GB2312" w:hAnsi="仿宋_GB2312" w:eastAsia="仿宋_GB2312" w:cs="仿宋_GB2312"/>
          <w:b w:val="0"/>
          <w:bCs w:val="0"/>
          <w:sz w:val="21"/>
          <w:szCs w:val="21"/>
        </w:rPr>
        <w:t>断面图的概念</w:t>
      </w:r>
      <w:r>
        <w:rPr>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领会：移出</w:t>
      </w:r>
      <w:r>
        <w:rPr>
          <w:rFonts w:hint="eastAsia" w:ascii="仿宋_GB2312" w:hAnsi="仿宋_GB2312" w:eastAsia="仿宋_GB2312" w:cs="仿宋_GB2312"/>
          <w:b w:val="0"/>
          <w:bCs w:val="0"/>
          <w:sz w:val="21"/>
          <w:szCs w:val="21"/>
        </w:rPr>
        <w:t>断面图、重合断面图的画法</w:t>
      </w:r>
      <w:r>
        <w:rPr>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w:t>
      </w:r>
      <w:r>
        <w:rPr>
          <w:rFonts w:hint="eastAsia" w:ascii="仿宋_GB2312" w:hAnsi="仿宋_GB2312" w:eastAsia="仿宋_GB2312" w:cs="仿宋_GB2312"/>
          <w:b w:val="0"/>
          <w:bCs w:val="0"/>
          <w:sz w:val="21"/>
          <w:szCs w:val="21"/>
        </w:rPr>
        <w:t>断面图的画法绘制方法和规范</w:t>
      </w:r>
      <w:r>
        <w:rPr>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w:t>
      </w:r>
      <w:r>
        <w:rPr>
          <w:rFonts w:hint="eastAsia" w:ascii="仿宋_GB2312" w:hAnsi="仿宋_GB2312" w:eastAsia="仿宋_GB2312" w:cs="仿宋_GB2312"/>
          <w:b w:val="0"/>
          <w:bCs w:val="0"/>
          <w:sz w:val="21"/>
          <w:szCs w:val="21"/>
        </w:rPr>
        <w:t>规定画法和简化画法</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识记：规定画法</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领会：按国标要求</w:t>
      </w:r>
      <w:r>
        <w:rPr>
          <w:rFonts w:hint="eastAsia" w:ascii="仿宋_GB2312" w:hAnsi="仿宋_GB2312" w:eastAsia="仿宋_GB2312" w:cs="仿宋_GB2312"/>
          <w:b w:val="0"/>
          <w:bCs w:val="0"/>
          <w:sz w:val="21"/>
          <w:szCs w:val="21"/>
        </w:rPr>
        <w:t>简化零件画法、简化尺寸标注等</w:t>
      </w:r>
      <w:r>
        <w:rPr>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（五）局部放大图</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w:t>
      </w:r>
      <w:r>
        <w:rPr>
          <w:rFonts w:hint="eastAsia" w:ascii="仿宋_GB2312" w:hAnsi="仿宋_GB2312" w:eastAsia="仿宋_GB2312" w:cs="仿宋_GB2312"/>
          <w:b w:val="0"/>
          <w:bCs w:val="0"/>
          <w:sz w:val="21"/>
          <w:szCs w:val="21"/>
        </w:rPr>
        <w:t>读局部放大图</w:t>
      </w:r>
      <w:r>
        <w:rPr>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重点：熟悉零件基本视图表达</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熟悉零件全剖、半部、局剖等视图的规范表达及绘制</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掌握断面图的规范表达及绘制。</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难点：剖视图的画法</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标注及剖切方法的选择。</w:t>
      </w:r>
    </w:p>
    <w:p>
      <w:pPr>
        <w:keepNext w:val="0"/>
        <w:keepLines w:val="0"/>
        <w:pageBreakBefore w:val="0"/>
        <w:kinsoku/>
        <w:wordWrap/>
        <w:overflowPunct/>
        <w:topLinePunct w:val="0"/>
        <w:bidi w:val="0"/>
        <w:snapToGrid w:val="0"/>
        <w:spacing w:line="240" w:lineRule="auto"/>
        <w:ind w:right="0" w:rightChars="0" w:firstLine="0" w:firstLine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第六章  标准件和常用件</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val="0"/>
        <w:autoSpaceDN w:val="0"/>
        <w:bidi w:val="0"/>
        <w:snapToGrid w:val="0"/>
        <w:spacing w:line="240" w:lineRule="auto"/>
        <w:ind w:right="0" w:rightChars="0" w:firstLine="420" w:firstLineChars="200"/>
        <w:jc w:val="left"/>
        <w:rPr>
          <w:rFonts w:hint="eastAsia" w:ascii="仿宋_GB2312" w:hAnsi="仿宋_GB2312" w:eastAsia="仿宋_GB2312" w:cs="仿宋_GB2312"/>
          <w:b w:val="0"/>
          <w:bCs w:val="0"/>
          <w:kern w:val="13"/>
          <w:sz w:val="21"/>
          <w:szCs w:val="21"/>
        </w:rPr>
      </w:pPr>
      <w:r>
        <w:rPr>
          <w:rFonts w:hint="eastAsia" w:ascii="仿宋_GB2312" w:hAnsi="仿宋_GB2312" w:eastAsia="仿宋_GB2312" w:cs="仿宋_GB2312"/>
          <w:b w:val="0"/>
          <w:bCs w:val="0"/>
          <w:kern w:val="13"/>
          <w:sz w:val="21"/>
          <w:szCs w:val="21"/>
        </w:rPr>
        <w:t>本章学习目标:了解与掌握螺纹的规定画法和标注方法;掌握常用螺纹紧固件的画法及装配画法;掌握直齿圆柱齿轮及其啮合的规定画法;了解与掌握键、销、滚动轴承、弹簧的画法。</w:t>
      </w:r>
    </w:p>
    <w:p>
      <w:pPr>
        <w:keepNext w:val="0"/>
        <w:keepLines w:val="0"/>
        <w:pageBreakBefore w:val="0"/>
        <w:kinsoku/>
        <w:wordWrap/>
        <w:overflowPunct/>
        <w:topLinePunct w:val="0"/>
        <w:autoSpaceDE w:val="0"/>
        <w:autoSpaceDN w:val="0"/>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kern w:val="13"/>
          <w:sz w:val="21"/>
          <w:szCs w:val="21"/>
        </w:rPr>
        <w:t>本章学习要求:螺纹的形成、结构、基本要素和规定画法等,常用螺纹紧固件的装配画法，键连接,销连接,直齿圆柱齿轮，滚动轴承和弹簧。</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6.1 螺纹及螺纹紧固件</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6.2 键连接</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6.3 销连接</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6.4 齿轮</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6.5 弹簧</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 xml:space="preserve">（一） </w:t>
      </w:r>
      <w:r>
        <w:rPr>
          <w:rFonts w:hint="eastAsia" w:ascii="仿宋_GB2312" w:hAnsi="仿宋_GB2312" w:eastAsia="仿宋_GB2312" w:cs="仿宋_GB2312"/>
          <w:b w:val="0"/>
          <w:bCs w:val="0"/>
          <w:sz w:val="21"/>
          <w:szCs w:val="21"/>
        </w:rPr>
        <w:t>螺纹及螺纹紧固件</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识记：</w:t>
      </w:r>
      <w:r>
        <w:rPr>
          <w:rFonts w:hint="eastAsia" w:ascii="仿宋_GB2312" w:hAnsi="仿宋_GB2312" w:eastAsia="仿宋_GB2312" w:cs="仿宋_GB2312"/>
          <w:b w:val="0"/>
          <w:bCs w:val="0"/>
          <w:kern w:val="13"/>
          <w:sz w:val="21"/>
          <w:szCs w:val="21"/>
        </w:rPr>
        <w:t>螺纹要素；</w:t>
      </w:r>
      <w:r>
        <w:rPr>
          <w:rFonts w:hint="eastAsia" w:ascii="仿宋_GB2312" w:hAnsi="仿宋_GB2312" w:eastAsia="仿宋_GB2312" w:cs="仿宋_GB2312"/>
          <w:b w:val="0"/>
          <w:bCs w:val="0"/>
          <w:sz w:val="21"/>
          <w:szCs w:val="21"/>
        </w:rPr>
        <w:t>螺纹、常用螺纹紧固件的标记和画法</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领会：螺纹紧固件的连接画法</w:t>
      </w:r>
      <w:r>
        <w:rPr>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bidi w:val="0"/>
        <w:adjustRightInd w:val="0"/>
        <w:snapToGrid w:val="0"/>
        <w:spacing w:line="240" w:lineRule="auto"/>
        <w:ind w:right="0" w:rightChars="0" w:firstLine="420" w:firstLineChars="200"/>
        <w:jc w:val="left"/>
        <w:textAlignment w:val="baseline"/>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应用：不同种类螺纹紧固件联接的画法</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（二）键连接</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识记：键种类和标记</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领会：键连接</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应用：键连接轴与齿轮的画法</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（三）销连接</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识记：销种类和标记</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领会：销连接的应用；销连接画法</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（四）齿轮</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识记：圆柱齿轮的基本参数</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领会：圆柱齿轮的画法</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应用：圆柱齿轮啮合的画法</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（五）弹簧</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sz w:val="21"/>
          <w:szCs w:val="21"/>
        </w:rPr>
        <w:t>识记：圆柱螺旋压缩弹簧的画法</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领会：圆柱螺旋压缩弹簧的作图步骤</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应用：装配图中螺旋弹簧的规定画法</w:t>
      </w:r>
      <w:r>
        <w:rPr>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tabs>
          <w:tab w:val="left" w:pos="1680"/>
        </w:tabs>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重点：螺纹及螺纹紧固件的画法</w:t>
      </w:r>
      <w:r>
        <w:rPr>
          <w:rStyle w:val="8"/>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难点：直齿圆柱齿轮及其啮合画法</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第七章  零件图</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val="0"/>
        <w:autoSpaceDN w:val="0"/>
        <w:bidi w:val="0"/>
        <w:snapToGrid w:val="0"/>
        <w:spacing w:line="240" w:lineRule="auto"/>
        <w:ind w:right="0" w:rightChars="0" w:firstLine="420" w:firstLineChars="200"/>
        <w:jc w:val="left"/>
        <w:rPr>
          <w:rFonts w:hint="eastAsia" w:ascii="仿宋_GB2312" w:hAnsi="仿宋_GB2312" w:eastAsia="仿宋_GB2312" w:cs="仿宋_GB2312"/>
          <w:b w:val="0"/>
          <w:bCs w:val="0"/>
          <w:kern w:val="13"/>
          <w:sz w:val="21"/>
          <w:szCs w:val="21"/>
        </w:rPr>
      </w:pPr>
      <w:r>
        <w:rPr>
          <w:rFonts w:hint="eastAsia" w:ascii="仿宋_GB2312" w:hAnsi="仿宋_GB2312" w:eastAsia="仿宋_GB2312" w:cs="仿宋_GB2312"/>
          <w:b w:val="0"/>
          <w:bCs w:val="0"/>
          <w:kern w:val="13"/>
          <w:sz w:val="21"/>
          <w:szCs w:val="21"/>
        </w:rPr>
        <w:t>本章学习目标:了解零件图的内容、作用,掌握零件图的绘制方法和阅读方法。</w:t>
      </w:r>
    </w:p>
    <w:p>
      <w:pPr>
        <w:keepNext w:val="0"/>
        <w:keepLines w:val="0"/>
        <w:pageBreakBefore w:val="0"/>
        <w:kinsoku/>
        <w:wordWrap/>
        <w:overflowPunct/>
        <w:topLinePunct w:val="0"/>
        <w:autoSpaceDE w:val="0"/>
        <w:autoSpaceDN w:val="0"/>
        <w:bidi w:val="0"/>
        <w:snapToGrid w:val="0"/>
        <w:spacing w:line="240" w:lineRule="auto"/>
        <w:ind w:right="0" w:rightChars="0" w:firstLine="420" w:firstLineChars="200"/>
        <w:jc w:val="left"/>
        <w:rPr>
          <w:rFonts w:hint="eastAsia" w:ascii="仿宋_GB2312" w:hAnsi="仿宋_GB2312" w:eastAsia="仿宋_GB2312" w:cs="仿宋_GB2312"/>
          <w:b w:val="0"/>
          <w:bCs w:val="0"/>
          <w:kern w:val="13"/>
          <w:sz w:val="21"/>
          <w:szCs w:val="21"/>
        </w:rPr>
      </w:pPr>
      <w:r>
        <w:rPr>
          <w:rFonts w:hint="eastAsia" w:ascii="仿宋_GB2312" w:hAnsi="仿宋_GB2312" w:eastAsia="仿宋_GB2312" w:cs="仿宋_GB2312"/>
          <w:b w:val="0"/>
          <w:bCs w:val="0"/>
          <w:kern w:val="13"/>
          <w:sz w:val="21"/>
          <w:szCs w:val="21"/>
        </w:rPr>
        <w:t>本章学习内容:零件图的分类和内容,零件图的视图选择和尺寸标注，表面结构的概念和标注,公差与配合,零件图的绘制与阅读。</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kern w:val="0"/>
          <w:sz w:val="21"/>
          <w:szCs w:val="21"/>
        </w:rPr>
      </w:pPr>
      <w:r>
        <w:rPr>
          <w:rFonts w:hint="eastAsia" w:ascii="仿宋_GB2312" w:hAnsi="仿宋_GB2312" w:eastAsia="仿宋_GB2312" w:cs="仿宋_GB2312"/>
          <w:b w:val="0"/>
          <w:bCs w:val="0"/>
          <w:kern w:val="0"/>
          <w:sz w:val="21"/>
          <w:szCs w:val="21"/>
        </w:rPr>
        <w:t>7.1 零件图的内容</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kern w:val="0"/>
          <w:sz w:val="21"/>
          <w:szCs w:val="21"/>
        </w:rPr>
      </w:pPr>
      <w:r>
        <w:rPr>
          <w:rFonts w:hint="eastAsia" w:ascii="仿宋_GB2312" w:hAnsi="仿宋_GB2312" w:eastAsia="仿宋_GB2312" w:cs="仿宋_GB2312"/>
          <w:b w:val="0"/>
          <w:bCs w:val="0"/>
          <w:kern w:val="0"/>
          <w:sz w:val="21"/>
          <w:szCs w:val="21"/>
        </w:rPr>
        <w:t>7.2 零件图视图选择和尺寸标注</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kern w:val="0"/>
          <w:sz w:val="21"/>
          <w:szCs w:val="21"/>
        </w:rPr>
      </w:pPr>
      <w:r>
        <w:rPr>
          <w:rFonts w:hint="eastAsia" w:ascii="仿宋_GB2312" w:hAnsi="仿宋_GB2312" w:eastAsia="仿宋_GB2312" w:cs="仿宋_GB2312"/>
          <w:b w:val="0"/>
          <w:bCs w:val="0"/>
          <w:kern w:val="0"/>
          <w:sz w:val="21"/>
          <w:szCs w:val="21"/>
        </w:rPr>
        <w:t>7.3 零件图上常见的工艺结构</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kern w:val="0"/>
          <w:sz w:val="21"/>
          <w:szCs w:val="21"/>
        </w:rPr>
      </w:pPr>
      <w:r>
        <w:rPr>
          <w:rFonts w:hint="eastAsia" w:ascii="仿宋_GB2312" w:hAnsi="仿宋_GB2312" w:eastAsia="仿宋_GB2312" w:cs="仿宋_GB2312"/>
          <w:b w:val="0"/>
          <w:bCs w:val="0"/>
          <w:kern w:val="0"/>
          <w:sz w:val="21"/>
          <w:szCs w:val="21"/>
        </w:rPr>
        <w:t>7.4 零件图中的技术要求</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kern w:val="0"/>
          <w:sz w:val="21"/>
          <w:szCs w:val="21"/>
        </w:rPr>
      </w:pPr>
      <w:r>
        <w:rPr>
          <w:rFonts w:hint="eastAsia" w:ascii="仿宋_GB2312" w:hAnsi="仿宋_GB2312" w:eastAsia="仿宋_GB2312" w:cs="仿宋_GB2312"/>
          <w:b w:val="0"/>
          <w:bCs w:val="0"/>
          <w:kern w:val="0"/>
          <w:sz w:val="21"/>
          <w:szCs w:val="21"/>
        </w:rPr>
        <w:t>7.5 读零件图</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 xml:space="preserve">（一） </w:t>
      </w:r>
      <w:r>
        <w:rPr>
          <w:rFonts w:hint="eastAsia" w:ascii="仿宋_GB2312" w:hAnsi="仿宋_GB2312" w:eastAsia="仿宋_GB2312" w:cs="仿宋_GB2312"/>
          <w:b w:val="0"/>
          <w:bCs w:val="0"/>
          <w:kern w:val="0"/>
          <w:sz w:val="21"/>
          <w:szCs w:val="21"/>
        </w:rPr>
        <w:t>零件图的内容</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识记：零件的分类</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领会：</w:t>
      </w:r>
      <w:r>
        <w:rPr>
          <w:rFonts w:hint="eastAsia" w:ascii="仿宋_GB2312" w:hAnsi="仿宋_GB2312" w:eastAsia="仿宋_GB2312" w:cs="仿宋_GB2312"/>
          <w:b w:val="0"/>
          <w:bCs w:val="0"/>
          <w:kern w:val="0"/>
          <w:sz w:val="21"/>
          <w:szCs w:val="21"/>
        </w:rPr>
        <w:t>零件图的内容</w:t>
      </w:r>
      <w:r>
        <w:rPr>
          <w:rFonts w:hint="eastAsia" w:ascii="仿宋_GB2312" w:hAnsi="仿宋_GB2312" w:eastAsia="仿宋_GB2312" w:cs="仿宋_GB2312"/>
          <w:b w:val="0"/>
          <w:bCs w:val="0"/>
          <w:kern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w:t>
      </w:r>
      <w:r>
        <w:rPr>
          <w:rFonts w:hint="eastAsia" w:ascii="仿宋_GB2312" w:hAnsi="仿宋_GB2312" w:eastAsia="仿宋_GB2312" w:cs="仿宋_GB2312"/>
          <w:b w:val="0"/>
          <w:bCs w:val="0"/>
          <w:kern w:val="0"/>
          <w:sz w:val="21"/>
          <w:szCs w:val="21"/>
        </w:rPr>
        <w:t>零件图视图选择和尺寸标注</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识记：</w:t>
      </w:r>
      <w:r>
        <w:rPr>
          <w:rFonts w:hint="eastAsia" w:ascii="仿宋_GB2312" w:hAnsi="仿宋_GB2312" w:eastAsia="仿宋_GB2312" w:cs="仿宋_GB2312"/>
          <w:b w:val="0"/>
          <w:bCs w:val="0"/>
          <w:kern w:val="0"/>
          <w:sz w:val="21"/>
          <w:szCs w:val="21"/>
        </w:rPr>
        <w:t>零件图视图选择</w:t>
      </w:r>
      <w:r>
        <w:rPr>
          <w:rFonts w:hint="eastAsia" w:ascii="仿宋_GB2312" w:hAnsi="仿宋_GB2312" w:eastAsia="仿宋_GB2312" w:cs="仿宋_GB2312"/>
          <w:b w:val="0"/>
          <w:bCs w:val="0"/>
          <w:kern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领会：</w:t>
      </w:r>
      <w:r>
        <w:rPr>
          <w:rFonts w:hint="eastAsia" w:ascii="仿宋_GB2312" w:hAnsi="仿宋_GB2312" w:eastAsia="仿宋_GB2312" w:cs="仿宋_GB2312"/>
          <w:b w:val="0"/>
          <w:bCs w:val="0"/>
          <w:kern w:val="0"/>
          <w:sz w:val="21"/>
          <w:szCs w:val="21"/>
        </w:rPr>
        <w:t>零件图尺寸标注</w:t>
      </w:r>
      <w:r>
        <w:rPr>
          <w:rFonts w:hint="eastAsia" w:ascii="仿宋_GB2312" w:hAnsi="仿宋_GB2312" w:eastAsia="仿宋_GB2312" w:cs="仿宋_GB2312"/>
          <w:b w:val="0"/>
          <w:bCs w:val="0"/>
          <w:kern w:val="0"/>
          <w:sz w:val="21"/>
          <w:szCs w:val="21"/>
          <w:lang w:eastAsia="zh-CN"/>
        </w:rPr>
        <w:t>。</w:t>
      </w:r>
    </w:p>
    <w:p>
      <w:pPr>
        <w:keepNext w:val="0"/>
        <w:keepLines w:val="0"/>
        <w:pageBreakBefore w:val="0"/>
        <w:kinsoku/>
        <w:wordWrap/>
        <w:overflowPunct/>
        <w:topLinePunct w:val="0"/>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应用：各类零件的表达方法和尺寸标注；标注避免封闭尺寸链；标注满足加工顺序。</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w:t>
      </w:r>
      <w:r>
        <w:rPr>
          <w:rFonts w:hint="eastAsia" w:ascii="仿宋_GB2312" w:hAnsi="仿宋_GB2312" w:eastAsia="仿宋_GB2312" w:cs="仿宋_GB2312"/>
          <w:b w:val="0"/>
          <w:bCs w:val="0"/>
          <w:kern w:val="0"/>
          <w:sz w:val="21"/>
          <w:szCs w:val="21"/>
        </w:rPr>
        <w:t>零件图上常见的工艺结构</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识记：铸造工艺结构</w:t>
      </w:r>
      <w:r>
        <w:rPr>
          <w:rFonts w:hint="eastAsia" w:ascii="仿宋_GB2312" w:hAnsi="仿宋_GB2312" w:eastAsia="仿宋_GB2312" w:cs="仿宋_GB2312"/>
          <w:b w:val="0"/>
          <w:bCs w:val="0"/>
          <w:sz w:val="21"/>
          <w:szCs w:val="21"/>
          <w:lang w:eastAsia="zh-CN"/>
        </w:rPr>
        <w:t>。</w:t>
      </w:r>
    </w:p>
    <w:p>
      <w:pPr>
        <w:pStyle w:val="5"/>
        <w:keepNext w:val="0"/>
        <w:keepLines w:val="0"/>
        <w:pageBreakBefore w:val="0"/>
        <w:tabs>
          <w:tab w:val="left" w:pos="4275"/>
          <w:tab w:val="clear" w:pos="8296"/>
        </w:tabs>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领会：机械加工工艺结构</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 xml:space="preserve"> </w:t>
      </w:r>
      <w:r>
        <w:rPr>
          <w:rFonts w:hint="eastAsia" w:ascii="仿宋_GB2312" w:hAnsi="仿宋_GB2312" w:eastAsia="仿宋_GB2312" w:cs="仿宋_GB2312"/>
          <w:b w:val="0"/>
          <w:bCs w:val="0"/>
          <w:sz w:val="21"/>
          <w:szCs w:val="21"/>
        </w:rPr>
        <w:tab/>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应用：零件图中绘制圆角、倒角、退刀槽等加工工艺</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w:t>
      </w:r>
      <w:r>
        <w:rPr>
          <w:rFonts w:hint="eastAsia" w:ascii="仿宋_GB2312" w:hAnsi="仿宋_GB2312" w:eastAsia="仿宋_GB2312" w:cs="仿宋_GB2312"/>
          <w:b w:val="0"/>
          <w:bCs w:val="0"/>
          <w:kern w:val="0"/>
          <w:sz w:val="21"/>
          <w:szCs w:val="21"/>
        </w:rPr>
        <w:t>零件图中的技术要求</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识记：表面结构、极限与配合</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领会：表面结构的符号表示含义，根据不同层级表面机构合理选择参数</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应用：极限与配合、几何公差的含义</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（五）读零件图</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sz w:val="21"/>
          <w:szCs w:val="21"/>
        </w:rPr>
        <w:t>识记：读零件图的要求</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领会：读零件图的方法和步骤</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应用：读零件图</w:t>
      </w:r>
      <w:r>
        <w:rPr>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重点：零件图的作用与内容</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零件图的尺寸标注</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零件上常见的工艺结构的表达及释义</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表面结构的表达规范及释义</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极限与配合。</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难点：零件图上表面结构的标注与应用</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极限与配合在图样上的标注规范与查表方法。</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第八章  装配图</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kern w:val="0"/>
          <w:sz w:val="21"/>
          <w:szCs w:val="21"/>
        </w:rPr>
      </w:pPr>
      <w:r>
        <w:rPr>
          <w:rFonts w:hint="eastAsia" w:ascii="仿宋_GB2312" w:hAnsi="仿宋_GB2312" w:eastAsia="仿宋_GB2312" w:cs="仿宋_GB2312"/>
          <w:b w:val="0"/>
          <w:bCs w:val="0"/>
          <w:color w:val="000000"/>
          <w:kern w:val="0"/>
          <w:sz w:val="21"/>
          <w:szCs w:val="21"/>
        </w:rPr>
        <w:t>本章学习目标:了解装配图的内容、作用,掌握装配图的绘制方法和阅读方法。</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kern w:val="0"/>
          <w:sz w:val="21"/>
          <w:szCs w:val="21"/>
        </w:rPr>
      </w:pPr>
      <w:r>
        <w:rPr>
          <w:rFonts w:hint="eastAsia" w:ascii="仿宋_GB2312" w:hAnsi="仿宋_GB2312" w:eastAsia="仿宋_GB2312" w:cs="仿宋_GB2312"/>
          <w:b w:val="0"/>
          <w:bCs w:val="0"/>
          <w:color w:val="000000"/>
          <w:kern w:val="0"/>
          <w:sz w:val="21"/>
          <w:szCs w:val="21"/>
        </w:rPr>
        <w:t>本章学习要求:装配图的内容和作用,装配图的表达特点,装配图的尺寸标注及技术要求，装配图的绘制与阅读。</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Style w:val="8"/>
          <w:rFonts w:hint="eastAsia" w:ascii="仿宋_GB2312" w:hAnsi="仿宋_GB2312" w:eastAsia="仿宋_GB2312" w:cs="仿宋_GB2312"/>
          <w:b w:val="0"/>
          <w:bCs w:val="0"/>
          <w:sz w:val="21"/>
          <w:szCs w:val="21"/>
        </w:rPr>
        <w:t>8.1</w:t>
      </w:r>
      <w:r>
        <w:rPr>
          <w:rFonts w:hint="eastAsia" w:ascii="仿宋_GB2312" w:hAnsi="仿宋_GB2312" w:eastAsia="仿宋_GB2312" w:cs="仿宋_GB2312"/>
          <w:b w:val="0"/>
          <w:bCs w:val="0"/>
          <w:sz w:val="21"/>
          <w:szCs w:val="21"/>
        </w:rPr>
        <w:t>装配图的作用和内容</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8.2 装配图的表达方法</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8.3 装配图的尺寸标注和技术要求</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8.4 装配图的零件序号、明细栏和标题栏</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8.5 装配工艺结构的合理性</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8.6 读装配图并拆画零件图</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 xml:space="preserve">（一） </w:t>
      </w:r>
      <w:r>
        <w:rPr>
          <w:rFonts w:hint="eastAsia" w:ascii="仿宋_GB2312" w:hAnsi="仿宋_GB2312" w:eastAsia="仿宋_GB2312" w:cs="仿宋_GB2312"/>
          <w:b w:val="0"/>
          <w:bCs w:val="0"/>
          <w:sz w:val="21"/>
          <w:szCs w:val="21"/>
        </w:rPr>
        <w:t>装配图的作用和内容</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识记：装配图的作用</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领会：装配</w:t>
      </w:r>
      <w:r>
        <w:rPr>
          <w:rFonts w:hint="eastAsia" w:ascii="仿宋_GB2312" w:hAnsi="仿宋_GB2312" w:eastAsia="仿宋_GB2312" w:cs="仿宋_GB2312"/>
          <w:b w:val="0"/>
          <w:bCs w:val="0"/>
          <w:kern w:val="0"/>
          <w:sz w:val="21"/>
          <w:szCs w:val="21"/>
        </w:rPr>
        <w:t>图的内容</w:t>
      </w:r>
      <w:r>
        <w:rPr>
          <w:rFonts w:hint="eastAsia" w:ascii="仿宋_GB2312" w:hAnsi="仿宋_GB2312" w:eastAsia="仿宋_GB2312" w:cs="仿宋_GB2312"/>
          <w:b w:val="0"/>
          <w:bCs w:val="0"/>
          <w:kern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（二）装配图的表达方法</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识记：装配图的规定画法</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领会：装配图的特殊画法</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应用：装配图的视图表达</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（三）装配图的尺寸标注和技术要求</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识记：装配图的尺寸标注</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领会：装配图的技术要求</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（四）装配图的零件序号、明细栏和标题栏</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识记：装配图的零件序号</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领会：装配图的零件明细栏和标题栏</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（五）装配工艺结构的合理性</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sz w:val="21"/>
          <w:szCs w:val="21"/>
        </w:rPr>
        <w:t>识记：装配面与配合中的结构</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领会：接触面转折处结构、装拆维修方便、常见的定位密封及防松装置</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（六）读装配图并拆画零件图</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识记：读装配图的要求</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领会：读装配图的方法和步骤</w:t>
      </w:r>
      <w:r>
        <w:rPr>
          <w:rFonts w:hint="eastAsia" w:ascii="仿宋_GB2312" w:hAnsi="仿宋_GB2312" w:eastAsia="仿宋_GB2312" w:cs="仿宋_GB2312"/>
          <w:b w:val="0"/>
          <w:bCs w:val="0"/>
          <w:sz w:val="21"/>
          <w:szCs w:val="21"/>
          <w:lang w:eastAsia="zh-CN"/>
        </w:rPr>
        <w:t>。</w:t>
      </w:r>
    </w:p>
    <w:p>
      <w:pPr>
        <w:pStyle w:val="5"/>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应用：由装配图并拆画零件图</w:t>
      </w:r>
      <w:r>
        <w:rPr>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重点：掌握装配图读图技能</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掌握装配图的表达方法</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理解和掌握装配图的尺寸标注和技术要求</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理解和掌握装配图零件序号与明细栏的撰写规范及方法</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理解和掌握装配图的工艺结构合理性及绘制方法。</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难点：装配图的尺寸标注和技术要求</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装配图的工艺结构及绘制方式。</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由装配图拆画成简单的零件图</w:t>
      </w: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Ⅳ  关于大纲的说明与考核实施要求</w:t>
      </w:r>
    </w:p>
    <w:p>
      <w:pPr>
        <w:keepNext w:val="0"/>
        <w:keepLines w:val="0"/>
        <w:pageBreakBefore w:val="0"/>
        <w:kinsoku/>
        <w:wordWrap/>
        <w:overflowPunct/>
        <w:topLinePunct w:val="0"/>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一、自学考试大纲的目的和作用</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该</w:t>
      </w:r>
      <w:r>
        <w:rPr>
          <w:rFonts w:hint="eastAsia" w:ascii="仿宋_GB2312" w:hAnsi="仿宋_GB2312" w:eastAsia="仿宋_GB2312" w:cs="仿宋_GB2312"/>
          <w:b w:val="0"/>
          <w:bCs w:val="0"/>
          <w:sz w:val="21"/>
          <w:szCs w:val="21"/>
        </w:rPr>
        <w:t>课程自学考试大纲是根据专业自学考试计划的要求，结合自学考试的特点而确定。其目的是对个人自学、社会助学和课程考试命题进行指导和规定。</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二、课程自学考试大纲与教材的关系</w:t>
      </w:r>
    </w:p>
    <w:p>
      <w:pPr>
        <w:pStyle w:val="2"/>
        <w:keepNext w:val="0"/>
        <w:keepLines w:val="0"/>
        <w:pageBreakBefore w:val="0"/>
        <w:kinsoku/>
        <w:wordWrap/>
        <w:overflowPunct/>
        <w:topLinePunct w:val="0"/>
        <w:bidi w:val="0"/>
        <w:snapToGrid w:val="0"/>
        <w:spacing w:after="0"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进行学习和考核的依据，教材给出了学习掌握课程知识的基本内容与范围，教材的内容还包括大纲所规定的课程知识的扩展与发挥。课程内容在教材中可以体现一定的深度或难度，但在大纲中对考核的要求一定要适当。</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大纲与教材所体现的课程内容基本一致；大纲里面的课程内容和考核知识点，教材里一般也要有。反过来教材里有的内容，大纲里就不一定体现。</w:t>
      </w:r>
    </w:p>
    <w:p>
      <w:pPr>
        <w:keepNext w:val="0"/>
        <w:keepLines w:val="0"/>
        <w:pageBreakBefore w:val="0"/>
        <w:numPr>
          <w:ilvl w:val="0"/>
          <w:numId w:val="7"/>
        </w:numPr>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关于自学教材</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bookmarkStart w:id="0" w:name="_GoBack"/>
      <w:r>
        <w:rPr>
          <w:rFonts w:hint="eastAsia" w:ascii="仿宋_GB2312" w:hAnsi="仿宋_GB2312" w:eastAsia="仿宋_GB2312" w:cs="仿宋_GB2312"/>
          <w:b w:val="0"/>
          <w:bCs w:val="0"/>
          <w:sz w:val="21"/>
          <w:szCs w:val="21"/>
        </w:rPr>
        <w:t>《机械制图》，陈锦昌</w:t>
      </w:r>
      <w:r>
        <w:rPr>
          <w:rFonts w:hint="eastAsia" w:ascii="仿宋_GB2312" w:hAnsi="仿宋_GB2312" w:eastAsia="仿宋_GB2312" w:cs="仿宋_GB2312"/>
          <w:b w:val="0"/>
          <w:bCs w:val="0"/>
          <w:sz w:val="21"/>
          <w:szCs w:val="21"/>
          <w:lang w:eastAsia="zh-CN"/>
        </w:rPr>
        <w:t>、刘林</w:t>
      </w:r>
      <w:r>
        <w:rPr>
          <w:rFonts w:hint="eastAsia" w:ascii="仿宋_GB2312" w:hAnsi="仿宋_GB2312" w:eastAsia="仿宋_GB2312" w:cs="仿宋_GB2312"/>
          <w:b w:val="0"/>
          <w:bCs w:val="0"/>
          <w:sz w:val="21"/>
          <w:szCs w:val="21"/>
        </w:rPr>
        <w:t>编著，高等教育出版社，2016年</w:t>
      </w:r>
      <w:r>
        <w:rPr>
          <w:rFonts w:hint="eastAsia" w:ascii="仿宋_GB2312" w:hAnsi="仿宋_GB2312" w:eastAsia="仿宋_GB2312" w:cs="仿宋_GB2312"/>
          <w:b w:val="0"/>
          <w:bCs w:val="0"/>
          <w:sz w:val="21"/>
          <w:szCs w:val="21"/>
          <w:lang w:val="en-US" w:eastAsia="zh-CN"/>
        </w:rPr>
        <w:t>版（2020年重印，第2</w:t>
      </w:r>
      <w:r>
        <w:rPr>
          <w:rFonts w:hint="eastAsia" w:ascii="仿宋_GB2312" w:hAnsi="仿宋_GB2312" w:eastAsia="仿宋_GB2312" w:cs="仿宋_GB2312"/>
          <w:b w:val="0"/>
          <w:bCs w:val="0"/>
          <w:sz w:val="21"/>
          <w:szCs w:val="21"/>
        </w:rPr>
        <w:t>版</w:t>
      </w:r>
      <w:r>
        <w:rPr>
          <w:rFonts w:hint="eastAsia" w:ascii="仿宋_GB2312" w:hAnsi="仿宋_GB2312" w:eastAsia="仿宋_GB2312" w:cs="仿宋_GB2312"/>
          <w:b w:val="0"/>
          <w:bCs w:val="0"/>
          <w:sz w:val="21"/>
          <w:szCs w:val="21"/>
          <w:lang w:eastAsia="zh-CN"/>
        </w:rPr>
        <w:t>）</w:t>
      </w:r>
      <w:bookmarkEnd w:id="0"/>
      <w:r>
        <w:rPr>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color w:val="auto"/>
          <w:sz w:val="21"/>
          <w:szCs w:val="21"/>
          <w:lang w:val="en-US" w:eastAsia="zh-CN"/>
        </w:rPr>
        <w:t>本教材第1章、第4章、第6章、第12章、第13章全部内容及第2章第2、5节、第9章第6节、第10章第5节、第11章第6节内容，考生可根据个人能力兴趣学习，不纳入考核范围。</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四、关于自学要求和自学方法的指导</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为有效地指导个人自学和社会助学，本大纲已指明了课程的重点和难点，在章节的基本要求中一般也指明了章节内容的重点和难点。</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由于成人学习的个性化特点，建议业余自学时间不低于60个学时。</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建议学习本课程时注意以下几点：</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1.在学习本课程教材之前，应先仔细阅读本大纲，了解本课程的性质和特点，熟知本课程的基本要求，在学习本课程时，能紧紧围绕本课程的基本要求。</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2.在自学每一章的教材之前，先阅读本大纲中对应章节的学习目的与要求、考核知识点与考核要求，以使在自学时做到心中有数。</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把学习基本理论、基本知识与分析、解决实际问题结合起来。首先，要弄懂基本理论、基本原理、基本知识和基本方法；其次，要学习运用这些知识联系实际解决有关实际问题。重点是要深刻领会教材内容，将知识转化为能力，提高运用知识分析问题和解决问题的能力。</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4.学习机械制图基础的目的是培养学生绘制和阅读工程图样的能力以及几何形体的设计能力，同时培养和发展学生的空间想象能力和分析能力。</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五</w:t>
      </w:r>
      <w:r>
        <w:rPr>
          <w:rFonts w:hint="eastAsia" w:ascii="仿宋_GB2312" w:hAnsi="仿宋_GB2312" w:eastAsia="仿宋_GB2312" w:cs="仿宋_GB2312"/>
          <w:b w:val="0"/>
          <w:bCs w:val="0"/>
          <w:sz w:val="21"/>
          <w:szCs w:val="21"/>
        </w:rPr>
        <w:t>、对社会助学的要求</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对担任本课程自学助学的任课教师和自学助学单位提出以下几条基本要求。</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1.熟知本课程考试大纲的各项要求，熟悉各章节的考核知识点。</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2.辅导教学以大纲为依据，不要随意删减内容，以免偏离大纲。</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3.辅导还要注意突出重点，要帮助学生对课程内容建立一个整体的概念。</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助学者在辅导时应帮助自学者梳理重点内容和一般内容之间的关系，在他们全面掌握全部考试内容的基础上，按点、线、面、体的形成规则进行思考学习，从单平面截切到多平面截切的演变过程，分析截切之后的投影特点，再延伸至组合体，推广至成型零件，多个零件形成的装配体在图样中的表达方式及方案选择，注意本课程知识迭代的系统性和贯穿始终的投影规律及国标规范。</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5.辅导要为考生提供足够多的绘图机会，多注意通过作图和空间思维的应用，熟练掌握国家标准及投影规律变换，提升空间感和构型感，达到举一反三、融会贯通的应用效果。</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建议</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本课程考纲内容</w:t>
      </w:r>
      <w:r>
        <w:rPr>
          <w:rFonts w:hint="eastAsia" w:ascii="仿宋_GB2312" w:hAnsi="仿宋_GB2312" w:eastAsia="仿宋_GB2312" w:cs="仿宋_GB2312"/>
          <w:b w:val="0"/>
          <w:bCs w:val="0"/>
          <w:color w:val="000000" w:themeColor="text1"/>
          <w:sz w:val="21"/>
          <w:szCs w:val="21"/>
          <w14:textFill>
            <w14:solidFill>
              <w14:schemeClr w14:val="tx1"/>
            </w14:solidFill>
          </w14:textFill>
        </w:rPr>
        <w:t>学时如下：</w:t>
      </w:r>
    </w:p>
    <w:tbl>
      <w:tblPr>
        <w:tblStyle w:val="10"/>
        <w:tblW w:w="7726"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2"/>
        <w:gridCol w:w="4186"/>
        <w:gridCol w:w="19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552" w:type="dxa"/>
          </w:tcPr>
          <w:p>
            <w:pPr>
              <w:keepNext w:val="0"/>
              <w:keepLines w:val="0"/>
              <w:pageBreakBefore w:val="0"/>
              <w:kinsoku/>
              <w:wordWrap/>
              <w:overflowPunct/>
              <w:topLinePunct w:val="0"/>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章次</w:t>
            </w:r>
          </w:p>
        </w:tc>
        <w:tc>
          <w:tcPr>
            <w:tcW w:w="4186" w:type="dxa"/>
          </w:tcPr>
          <w:p>
            <w:pPr>
              <w:keepNext w:val="0"/>
              <w:keepLines w:val="0"/>
              <w:pageBreakBefore w:val="0"/>
              <w:kinsoku/>
              <w:wordWrap/>
              <w:overflowPunct/>
              <w:topLinePunct w:val="0"/>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学习内容</w:t>
            </w:r>
          </w:p>
        </w:tc>
        <w:tc>
          <w:tcPr>
            <w:tcW w:w="1988" w:type="dxa"/>
          </w:tcPr>
          <w:p>
            <w:pPr>
              <w:keepNext w:val="0"/>
              <w:keepLines w:val="0"/>
              <w:pageBreakBefore w:val="0"/>
              <w:kinsoku/>
              <w:wordWrap/>
              <w:overflowPunct/>
              <w:topLinePunct w:val="0"/>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建议学时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2" w:type="dxa"/>
          </w:tcPr>
          <w:p>
            <w:pPr>
              <w:keepNext w:val="0"/>
              <w:keepLines w:val="0"/>
              <w:pageBreakBefore w:val="0"/>
              <w:kinsoku/>
              <w:wordWrap/>
              <w:overflowPunct/>
              <w:topLinePunct w:val="0"/>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第1章</w:t>
            </w:r>
          </w:p>
        </w:tc>
        <w:tc>
          <w:tcPr>
            <w:tcW w:w="4186" w:type="dxa"/>
          </w:tcPr>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制图的基本知识</w:t>
            </w:r>
          </w:p>
        </w:tc>
        <w:tc>
          <w:tcPr>
            <w:tcW w:w="1988" w:type="dxa"/>
          </w:tcPr>
          <w:p>
            <w:pPr>
              <w:keepNext w:val="0"/>
              <w:keepLines w:val="0"/>
              <w:pageBreakBefore w:val="0"/>
              <w:kinsoku/>
              <w:wordWrap/>
              <w:overflowPunct/>
              <w:topLinePunct w:val="0"/>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2" w:type="dxa"/>
          </w:tcPr>
          <w:p>
            <w:pPr>
              <w:keepNext w:val="0"/>
              <w:keepLines w:val="0"/>
              <w:pageBreakBefore w:val="0"/>
              <w:kinsoku/>
              <w:wordWrap/>
              <w:overflowPunct/>
              <w:topLinePunct w:val="0"/>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第2章</w:t>
            </w:r>
          </w:p>
        </w:tc>
        <w:tc>
          <w:tcPr>
            <w:tcW w:w="4186" w:type="dxa"/>
          </w:tcPr>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正投影基本知识</w:t>
            </w:r>
          </w:p>
        </w:tc>
        <w:tc>
          <w:tcPr>
            <w:tcW w:w="1988" w:type="dxa"/>
          </w:tcPr>
          <w:p>
            <w:pPr>
              <w:keepNext w:val="0"/>
              <w:keepLines w:val="0"/>
              <w:pageBreakBefore w:val="0"/>
              <w:kinsoku/>
              <w:wordWrap/>
              <w:overflowPunct/>
              <w:topLinePunct w:val="0"/>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2" w:type="dxa"/>
          </w:tcPr>
          <w:p>
            <w:pPr>
              <w:keepNext w:val="0"/>
              <w:keepLines w:val="0"/>
              <w:pageBreakBefore w:val="0"/>
              <w:kinsoku/>
              <w:wordWrap/>
              <w:overflowPunct/>
              <w:topLinePunct w:val="0"/>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第3章</w:t>
            </w:r>
          </w:p>
        </w:tc>
        <w:tc>
          <w:tcPr>
            <w:tcW w:w="4186" w:type="dxa"/>
          </w:tcPr>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基本形体的投影与立体表面交线</w:t>
            </w:r>
          </w:p>
        </w:tc>
        <w:tc>
          <w:tcPr>
            <w:tcW w:w="1988" w:type="dxa"/>
          </w:tcPr>
          <w:p>
            <w:pPr>
              <w:keepNext w:val="0"/>
              <w:keepLines w:val="0"/>
              <w:pageBreakBefore w:val="0"/>
              <w:kinsoku/>
              <w:wordWrap/>
              <w:overflowPunct/>
              <w:topLinePunct w:val="0"/>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2" w:type="dxa"/>
          </w:tcPr>
          <w:p>
            <w:pPr>
              <w:keepNext w:val="0"/>
              <w:keepLines w:val="0"/>
              <w:pageBreakBefore w:val="0"/>
              <w:kinsoku/>
              <w:wordWrap/>
              <w:overflowPunct/>
              <w:topLinePunct w:val="0"/>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第4章</w:t>
            </w:r>
          </w:p>
        </w:tc>
        <w:tc>
          <w:tcPr>
            <w:tcW w:w="4186" w:type="dxa"/>
          </w:tcPr>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组合体</w:t>
            </w:r>
          </w:p>
        </w:tc>
        <w:tc>
          <w:tcPr>
            <w:tcW w:w="1988" w:type="dxa"/>
          </w:tcPr>
          <w:p>
            <w:pPr>
              <w:keepNext w:val="0"/>
              <w:keepLines w:val="0"/>
              <w:pageBreakBefore w:val="0"/>
              <w:kinsoku/>
              <w:wordWrap/>
              <w:overflowPunct/>
              <w:topLinePunct w:val="0"/>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2" w:type="dxa"/>
          </w:tcPr>
          <w:p>
            <w:pPr>
              <w:keepNext w:val="0"/>
              <w:keepLines w:val="0"/>
              <w:pageBreakBefore w:val="0"/>
              <w:kinsoku/>
              <w:wordWrap/>
              <w:overflowPunct/>
              <w:topLinePunct w:val="0"/>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第5章</w:t>
            </w:r>
          </w:p>
        </w:tc>
        <w:tc>
          <w:tcPr>
            <w:tcW w:w="4186" w:type="dxa"/>
          </w:tcPr>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工程图样的表达方法</w:t>
            </w:r>
          </w:p>
        </w:tc>
        <w:tc>
          <w:tcPr>
            <w:tcW w:w="1988" w:type="dxa"/>
          </w:tcPr>
          <w:p>
            <w:pPr>
              <w:keepNext w:val="0"/>
              <w:keepLines w:val="0"/>
              <w:pageBreakBefore w:val="0"/>
              <w:kinsoku/>
              <w:wordWrap/>
              <w:overflowPunct/>
              <w:topLinePunct w:val="0"/>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2" w:type="dxa"/>
          </w:tcPr>
          <w:p>
            <w:pPr>
              <w:keepNext w:val="0"/>
              <w:keepLines w:val="0"/>
              <w:pageBreakBefore w:val="0"/>
              <w:kinsoku/>
              <w:wordWrap/>
              <w:overflowPunct/>
              <w:topLinePunct w:val="0"/>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第6章</w:t>
            </w:r>
          </w:p>
        </w:tc>
        <w:tc>
          <w:tcPr>
            <w:tcW w:w="4186" w:type="dxa"/>
          </w:tcPr>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标准件和常用件</w:t>
            </w:r>
          </w:p>
        </w:tc>
        <w:tc>
          <w:tcPr>
            <w:tcW w:w="1988" w:type="dxa"/>
          </w:tcPr>
          <w:p>
            <w:pPr>
              <w:keepNext w:val="0"/>
              <w:keepLines w:val="0"/>
              <w:pageBreakBefore w:val="0"/>
              <w:kinsoku/>
              <w:wordWrap/>
              <w:overflowPunct/>
              <w:topLinePunct w:val="0"/>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2" w:type="dxa"/>
          </w:tcPr>
          <w:p>
            <w:pPr>
              <w:keepNext w:val="0"/>
              <w:keepLines w:val="0"/>
              <w:pageBreakBefore w:val="0"/>
              <w:kinsoku/>
              <w:wordWrap/>
              <w:overflowPunct/>
              <w:topLinePunct w:val="0"/>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第7章</w:t>
            </w:r>
          </w:p>
        </w:tc>
        <w:tc>
          <w:tcPr>
            <w:tcW w:w="4186" w:type="dxa"/>
          </w:tcPr>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零件图</w:t>
            </w:r>
          </w:p>
        </w:tc>
        <w:tc>
          <w:tcPr>
            <w:tcW w:w="1988" w:type="dxa"/>
          </w:tcPr>
          <w:p>
            <w:pPr>
              <w:keepNext w:val="0"/>
              <w:keepLines w:val="0"/>
              <w:pageBreakBefore w:val="0"/>
              <w:kinsoku/>
              <w:wordWrap/>
              <w:overflowPunct/>
              <w:topLinePunct w:val="0"/>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52" w:type="dxa"/>
          </w:tcPr>
          <w:p>
            <w:pPr>
              <w:keepNext w:val="0"/>
              <w:keepLines w:val="0"/>
              <w:pageBreakBefore w:val="0"/>
              <w:kinsoku/>
              <w:wordWrap/>
              <w:overflowPunct/>
              <w:topLinePunct w:val="0"/>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第8章</w:t>
            </w:r>
          </w:p>
        </w:tc>
        <w:tc>
          <w:tcPr>
            <w:tcW w:w="4186" w:type="dxa"/>
          </w:tcPr>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装配图</w:t>
            </w:r>
          </w:p>
        </w:tc>
        <w:tc>
          <w:tcPr>
            <w:tcW w:w="1988" w:type="dxa"/>
          </w:tcPr>
          <w:p>
            <w:pPr>
              <w:keepNext w:val="0"/>
              <w:keepLines w:val="0"/>
              <w:pageBreakBefore w:val="0"/>
              <w:kinsoku/>
              <w:wordWrap/>
              <w:overflowPunct/>
              <w:topLinePunct w:val="0"/>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w:t>
            </w:r>
          </w:p>
        </w:tc>
      </w:tr>
    </w:tbl>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六</w:t>
      </w:r>
      <w:r>
        <w:rPr>
          <w:rFonts w:hint="eastAsia" w:ascii="仿宋_GB2312" w:hAnsi="仿宋_GB2312" w:eastAsia="仿宋_GB2312" w:cs="仿宋_GB2312"/>
          <w:b w:val="0"/>
          <w:bCs w:val="0"/>
          <w:sz w:val="21"/>
          <w:szCs w:val="21"/>
        </w:rPr>
        <w:t>、对考核内容的说明</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w:t>
      </w: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sz w:val="21"/>
          <w:szCs w:val="21"/>
        </w:rPr>
        <w:t>个认知层次确定其考核要求。</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七</w:t>
      </w:r>
      <w:r>
        <w:rPr>
          <w:rFonts w:hint="eastAsia" w:ascii="仿宋_GB2312" w:hAnsi="仿宋_GB2312" w:eastAsia="仿宋_GB2312" w:cs="仿宋_GB2312"/>
          <w:b w:val="0"/>
          <w:bCs w:val="0"/>
          <w:sz w:val="21"/>
          <w:szCs w:val="21"/>
        </w:rPr>
        <w:t>、关于考试命题的若干规定</w:t>
      </w:r>
    </w:p>
    <w:p>
      <w:pPr>
        <w:ind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sz w:val="21"/>
          <w:szCs w:val="21"/>
        </w:rPr>
        <w:t>1.本课程</w:t>
      </w:r>
      <w:r>
        <w:rPr>
          <w:rFonts w:hint="eastAsia" w:ascii="仿宋_GB2312" w:hAnsi="仿宋_GB2312" w:eastAsia="仿宋_GB2312" w:cs="仿宋_GB2312"/>
          <w:b w:val="0"/>
          <w:bCs w:val="0"/>
          <w:sz w:val="21"/>
          <w:szCs w:val="21"/>
          <w:lang w:val="en-US" w:eastAsia="zh-CN"/>
        </w:rPr>
        <w:t>本课程的考试采用闭卷笔试形式,考试时间为150分钟；满分100分,60分及格。</w:t>
      </w:r>
      <w:r>
        <w:rPr>
          <w:rFonts w:hint="eastAsia" w:ascii="仿宋_GB2312" w:hAnsi="仿宋_GB2312" w:eastAsia="仿宋_GB2312" w:cs="仿宋_GB2312"/>
          <w:b w:val="0"/>
          <w:bCs w:val="0"/>
          <w:color w:val="auto"/>
          <w:sz w:val="21"/>
          <w:szCs w:val="21"/>
        </w:rPr>
        <w:t>考试时允许携带绘图铅笔（含绘图自动铅笔）、橡皮、尺规及签字笔。</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不应命制超出大纲中考核知识点范围的题目，考核目标不得高于大纲中所规定的相应的最高能力层次要求。命题应着重考核自学者对基本概念、基本知识和基本理论是否了解或掌握，对基本方法是否会用或熟练。不应命制与基本要求不符的偏题或怪题。</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4.本课程在试卷中对不同能力层次要求的分数比例大致为：识记占30%，领会占30%，应用占40%。</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5.试题的难易程度分为4个等级：易、较易、较难和难四个等级。每份试卷中不同难度试题的分数比例一般为：易占20%，较易占30%，较难占</w:t>
      </w:r>
      <w:r>
        <w:rPr>
          <w:rFonts w:hint="eastAsia" w:ascii="仿宋_GB2312" w:hAnsi="仿宋_GB2312" w:eastAsia="仿宋_GB2312" w:cs="仿宋_GB2312"/>
          <w:b w:val="0"/>
          <w:bCs w:val="0"/>
          <w:color w:val="auto"/>
          <w:sz w:val="21"/>
          <w:szCs w:val="21"/>
          <w:lang w:val="en-US" w:eastAsia="zh-CN"/>
        </w:rPr>
        <w:t>3</w:t>
      </w:r>
      <w:r>
        <w:rPr>
          <w:rFonts w:hint="eastAsia" w:ascii="仿宋_GB2312" w:hAnsi="仿宋_GB2312" w:eastAsia="仿宋_GB2312" w:cs="仿宋_GB2312"/>
          <w:b w:val="0"/>
          <w:bCs w:val="0"/>
          <w:color w:val="auto"/>
          <w:sz w:val="21"/>
          <w:szCs w:val="21"/>
        </w:rPr>
        <w:t>0%，难占20%。</w:t>
      </w:r>
    </w:p>
    <w:p>
      <w:pPr>
        <w:keepNext w:val="0"/>
        <w:keepLines w:val="0"/>
        <w:pageBreakBefore w:val="0"/>
        <w:kinsoku/>
        <w:wordWrap/>
        <w:overflowPunct/>
        <w:topLinePunct w:val="0"/>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必须注意试题的难易程度与能力层次有一定的联系，但两者不是等同的概念，在各个能力层次都有不同难度的试题。</w:t>
      </w:r>
    </w:p>
    <w:p>
      <w:pPr>
        <w:pStyle w:val="6"/>
        <w:keepNext w:val="0"/>
        <w:keepLines w:val="0"/>
        <w:pageBreakBefore w:val="0"/>
        <w:kinsoku/>
        <w:wordWrap/>
        <w:overflowPunct/>
        <w:topLinePunct w:val="0"/>
        <w:bidi w:val="0"/>
        <w:snapToGrid w:val="0"/>
        <w:spacing w:before="0" w:beforeAutospacing="0" w:after="0" w:afterAutospacing="0"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w:t>
      </w:r>
      <w:r>
        <w:rPr>
          <w:rFonts w:hint="eastAsia" w:ascii="仿宋_GB2312" w:hAnsi="仿宋_GB2312" w:eastAsia="仿宋_GB2312" w:cs="仿宋_GB2312"/>
          <w:b w:val="0"/>
          <w:bCs w:val="0"/>
          <w:kern w:val="13"/>
          <w:sz w:val="21"/>
          <w:szCs w:val="21"/>
        </w:rPr>
        <w:t xml:space="preserve"> 本课程试题类型一般</w:t>
      </w:r>
      <w:r>
        <w:rPr>
          <w:rFonts w:hint="eastAsia" w:ascii="仿宋_GB2312" w:hAnsi="仿宋_GB2312" w:eastAsia="仿宋_GB2312" w:cs="仿宋_GB2312"/>
          <w:b w:val="0"/>
          <w:bCs w:val="0"/>
          <w:sz w:val="21"/>
          <w:szCs w:val="21"/>
        </w:rPr>
        <w:t>以作图题为主</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详见附录</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 xml:space="preserve"> </w:t>
      </w:r>
    </w:p>
    <w:p>
      <w:pPr>
        <w:keepNext w:val="0"/>
        <w:keepLines w:val="0"/>
        <w:pageBreakBefore w:val="0"/>
        <w:kinsoku/>
        <w:wordWrap/>
        <w:overflowPunct/>
        <w:topLinePunct w:val="0"/>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rPr>
      </w:pPr>
    </w:p>
    <w:p>
      <w:pPr>
        <w:keepNext w:val="0"/>
        <w:keepLines w:val="0"/>
        <w:pageBreakBefore w:val="0"/>
        <w:kinsoku/>
        <w:wordWrap/>
        <w:overflowPunct/>
        <w:topLinePunct w:val="0"/>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br w:type="page"/>
      </w:r>
    </w:p>
    <w:p>
      <w:pPr>
        <w:keepNext w:val="0"/>
        <w:keepLines w:val="0"/>
        <w:pageBreakBefore w:val="0"/>
        <w:kinsoku/>
        <w:wordWrap/>
        <w:overflowPunct/>
        <w:topLinePunct w:val="0"/>
        <w:bidi w:val="0"/>
        <w:snapToGrid w:val="0"/>
        <w:spacing w:line="240" w:lineRule="auto"/>
        <w:ind w:right="0" w:rightChars="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 xml:space="preserve">附录 </w:t>
      </w:r>
      <w:r>
        <w:rPr>
          <w:rFonts w:hint="eastAsia" w:ascii="仿宋_GB2312" w:hAnsi="仿宋_GB2312" w:eastAsia="仿宋_GB2312" w:cs="仿宋_GB2312"/>
          <w:b/>
          <w:bCs/>
          <w:sz w:val="21"/>
          <w:szCs w:val="21"/>
        </w:rPr>
        <w:t>题型举例</w:t>
      </w:r>
    </w:p>
    <w:p>
      <w:pPr>
        <w:keepNext w:val="0"/>
        <w:keepLines w:val="0"/>
        <w:pageBreakBefore w:val="0"/>
        <w:kinsoku/>
        <w:wordWrap/>
        <w:overflowPunct/>
        <w:topLinePunct w:val="0"/>
        <w:bidi w:val="0"/>
        <w:snapToGrid w:val="0"/>
        <w:spacing w:line="240" w:lineRule="auto"/>
        <w:ind w:right="0" w:rightChars="0"/>
        <w:jc w:val="center"/>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1.求直线与平面的交点，并判别可见性。</w:t>
      </w: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drawing>
          <wp:inline distT="0" distB="0" distL="0" distR="0">
            <wp:extent cx="1661795" cy="2634615"/>
            <wp:effectExtent l="0" t="0" r="14605"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1661795" cy="2634615"/>
                    </a:xfrm>
                    <a:prstGeom prst="rect">
                      <a:avLst/>
                    </a:prstGeom>
                  </pic:spPr>
                </pic:pic>
              </a:graphicData>
            </a:graphic>
          </wp:inline>
        </w:drawing>
      </w: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分析立体的截交线，并完成立体的三面投影。</w:t>
      </w:r>
    </w:p>
    <w:p>
      <w:pPr>
        <w:keepNext w:val="0"/>
        <w:keepLines w:val="0"/>
        <w:pageBreakBefore w:val="0"/>
        <w:kinsoku/>
        <w:wordWrap/>
        <w:overflowPunct/>
        <w:topLinePunct w:val="0"/>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drawing>
          <wp:inline distT="0" distB="0" distL="0" distR="0">
            <wp:extent cx="2411730" cy="2253615"/>
            <wp:effectExtent l="0" t="0" r="7620" b="133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rcRect b="1771"/>
                    <a:stretch>
                      <a:fillRect/>
                    </a:stretch>
                  </pic:blipFill>
                  <pic:spPr>
                    <a:xfrm>
                      <a:off x="0" y="0"/>
                      <a:ext cx="2411730" cy="2253615"/>
                    </a:xfrm>
                    <a:prstGeom prst="rect">
                      <a:avLst/>
                    </a:prstGeom>
                    <a:ln>
                      <a:noFill/>
                    </a:ln>
                  </pic:spPr>
                </pic:pic>
              </a:graphicData>
            </a:graphic>
          </wp:inline>
        </w:drawing>
      </w: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分析立体相交情况，画出立体的第三视图</w:t>
      </w:r>
    </w:p>
    <w:p>
      <w:pPr>
        <w:keepNext w:val="0"/>
        <w:keepLines w:val="0"/>
        <w:pageBreakBefore w:val="0"/>
        <w:kinsoku/>
        <w:wordWrap/>
        <w:overflowPunct/>
        <w:topLinePunct w:val="0"/>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drawing>
          <wp:inline distT="0" distB="0" distL="0" distR="0">
            <wp:extent cx="2482850" cy="2347595"/>
            <wp:effectExtent l="0" t="0" r="12700" b="1460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2482850" cy="2347595"/>
                    </a:xfrm>
                    <a:prstGeom prst="rect">
                      <a:avLst/>
                    </a:prstGeom>
                  </pic:spPr>
                </pic:pic>
              </a:graphicData>
            </a:graphic>
          </wp:inline>
        </w:drawing>
      </w: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br w:type="page"/>
      </w: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4.  在下列图中错误之处打上 x 号 并在空白处画出正确螺纹连接图      </w:t>
      </w: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drawing>
          <wp:anchor distT="0" distB="0" distL="114300" distR="114300" simplePos="0" relativeHeight="251659264" behindDoc="0" locked="0" layoutInCell="1" allowOverlap="1">
            <wp:simplePos x="0" y="0"/>
            <wp:positionH relativeFrom="column">
              <wp:posOffset>677545</wp:posOffset>
            </wp:positionH>
            <wp:positionV relativeFrom="paragraph">
              <wp:posOffset>71120</wp:posOffset>
            </wp:positionV>
            <wp:extent cx="3564255" cy="2441575"/>
            <wp:effectExtent l="0" t="0" r="17145" b="15875"/>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564255" cy="2441575"/>
                    </a:xfrm>
                    <a:prstGeom prst="rect">
                      <a:avLst/>
                    </a:prstGeom>
                  </pic:spPr>
                </pic:pic>
              </a:graphicData>
            </a:graphic>
          </wp:anchor>
        </w:drawing>
      </w: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 主视图画成半剖视图，左视图画成全剖视图</w:t>
      </w: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drawing>
          <wp:anchor distT="0" distB="0" distL="114300" distR="114300" simplePos="0" relativeHeight="251664384" behindDoc="0" locked="0" layoutInCell="1" allowOverlap="1">
            <wp:simplePos x="0" y="0"/>
            <wp:positionH relativeFrom="margin">
              <wp:posOffset>-164465</wp:posOffset>
            </wp:positionH>
            <wp:positionV relativeFrom="paragraph">
              <wp:posOffset>96520</wp:posOffset>
            </wp:positionV>
            <wp:extent cx="3188335" cy="1778000"/>
            <wp:effectExtent l="0" t="0" r="12065" b="12700"/>
            <wp:wrapNone/>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188335" cy="1778000"/>
                    </a:xfrm>
                    <a:prstGeom prst="rect">
                      <a:avLst/>
                    </a:prstGeom>
                  </pic:spPr>
                </pic:pic>
              </a:graphicData>
            </a:graphic>
          </wp:anchor>
        </w:drawing>
      </w:r>
      <w:r>
        <w:rPr>
          <w:rFonts w:hint="eastAsia" w:ascii="仿宋_GB2312" w:hAnsi="仿宋_GB2312" w:eastAsia="仿宋_GB2312" w:cs="仿宋_GB2312"/>
          <w:b w:val="0"/>
          <w:bCs w:val="0"/>
          <w:sz w:val="21"/>
          <w:szCs w:val="21"/>
        </w:rPr>
        <w:t xml:space="preserve">  </w:t>
      </w: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drawing>
          <wp:inline distT="0" distB="0" distL="0" distR="0">
            <wp:extent cx="3171825" cy="3149600"/>
            <wp:effectExtent l="0" t="0" r="9525" b="1270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9"/>
                    <a:stretch>
                      <a:fillRect/>
                    </a:stretch>
                  </pic:blipFill>
                  <pic:spPr>
                    <a:xfrm>
                      <a:off x="0" y="0"/>
                      <a:ext cx="3171825" cy="3149600"/>
                    </a:xfrm>
                    <a:prstGeom prst="rect">
                      <a:avLst/>
                    </a:prstGeom>
                  </pic:spPr>
                </pic:pic>
              </a:graphicData>
            </a:graphic>
          </wp:inline>
        </w:drawing>
      </w: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br w:type="page"/>
      </w: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6.读支架零件图，完成以下要求:</w:t>
      </w: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1）作A-A剖视图;</w:t>
      </w: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2）在图中标出长、宽、高方向尺寸的主要基准;</w:t>
      </w: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3）4xM6-6H表示有</w:t>
      </w:r>
      <w:r>
        <w:rPr>
          <w:rFonts w:hint="eastAsia" w:ascii="仿宋_GB2312" w:hAnsi="仿宋_GB2312" w:eastAsia="仿宋_GB2312" w:cs="仿宋_GB2312"/>
          <w:b w:val="0"/>
          <w:bCs w:val="0"/>
          <w:sz w:val="21"/>
          <w:szCs w:val="21"/>
          <w:u w:val="single"/>
        </w:rPr>
        <w:t xml:space="preserve">  _  </w:t>
      </w:r>
      <w:r>
        <w:rPr>
          <w:rFonts w:hint="eastAsia" w:ascii="仿宋_GB2312" w:hAnsi="仿宋_GB2312" w:eastAsia="仿宋_GB2312" w:cs="仿宋_GB2312"/>
          <w:b w:val="0"/>
          <w:bCs w:val="0"/>
          <w:sz w:val="21"/>
          <w:szCs w:val="21"/>
        </w:rPr>
        <w:t xml:space="preserve"> 个螺孔，M6中的M表示</w:t>
      </w:r>
      <w:r>
        <w:rPr>
          <w:rFonts w:hint="eastAsia" w:ascii="仿宋_GB2312" w:hAnsi="仿宋_GB2312" w:eastAsia="仿宋_GB2312" w:cs="仿宋_GB2312"/>
          <w:b w:val="0"/>
          <w:bCs w:val="0"/>
          <w:sz w:val="21"/>
          <w:szCs w:val="21"/>
          <w:u w:val="single"/>
        </w:rPr>
        <w:t xml:space="preserve">    </w:t>
      </w:r>
      <w:r>
        <w:rPr>
          <w:rFonts w:hint="eastAsia" w:ascii="仿宋_GB2312" w:hAnsi="仿宋_GB2312" w:eastAsia="仿宋_GB2312" w:cs="仿宋_GB2312"/>
          <w:b w:val="0"/>
          <w:bCs w:val="0"/>
          <w:sz w:val="21"/>
          <w:szCs w:val="21"/>
        </w:rPr>
        <w:t>螺纹,6表示螺纹的</w:t>
      </w:r>
      <w:r>
        <w:rPr>
          <w:rFonts w:hint="eastAsia" w:ascii="仿宋_GB2312" w:hAnsi="仿宋_GB2312" w:eastAsia="仿宋_GB2312" w:cs="仿宋_GB2312"/>
          <w:b w:val="0"/>
          <w:bCs w:val="0"/>
          <w:sz w:val="21"/>
          <w:szCs w:val="21"/>
          <w:u w:val="single"/>
        </w:rPr>
        <w:t xml:space="preserve">    </w:t>
      </w:r>
      <w:r>
        <w:rPr>
          <w:rFonts w:hint="eastAsia" w:ascii="仿宋_GB2312" w:hAnsi="仿宋_GB2312" w:eastAsia="仿宋_GB2312" w:cs="仿宋_GB2312"/>
          <w:b w:val="0"/>
          <w:bCs w:val="0"/>
          <w:sz w:val="21"/>
          <w:szCs w:val="21"/>
        </w:rPr>
        <w:t>径,6H表示</w:t>
      </w:r>
      <w:r>
        <w:rPr>
          <w:rFonts w:hint="eastAsia" w:ascii="仿宋_GB2312" w:hAnsi="仿宋_GB2312" w:eastAsia="仿宋_GB2312" w:cs="仿宋_GB2312"/>
          <w:b w:val="0"/>
          <w:bCs w:val="0"/>
          <w:sz w:val="21"/>
          <w:szCs w:val="21"/>
          <w:u w:val="single"/>
        </w:rPr>
        <w:t xml:space="preserve">    </w:t>
      </w:r>
      <w:r>
        <w:rPr>
          <w:rFonts w:hint="eastAsia" w:ascii="仿宋_GB2312" w:hAnsi="仿宋_GB2312" w:eastAsia="仿宋_GB2312" w:cs="仿宋_GB2312"/>
          <w:b w:val="0"/>
          <w:bCs w:val="0"/>
          <w:sz w:val="21"/>
          <w:szCs w:val="21"/>
        </w:rPr>
        <w:t>_,旋向是_</w:t>
      </w:r>
      <w:r>
        <w:rPr>
          <w:rFonts w:hint="eastAsia" w:ascii="仿宋_GB2312" w:hAnsi="仿宋_GB2312" w:eastAsia="仿宋_GB2312" w:cs="仿宋_GB2312"/>
          <w:b w:val="0"/>
          <w:bCs w:val="0"/>
          <w:sz w:val="21"/>
          <w:szCs w:val="21"/>
          <w:u w:val="single"/>
        </w:rPr>
        <w:t xml:space="preserve">     </w:t>
      </w:r>
      <w:r>
        <w:rPr>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u w:val="single"/>
        </w:rPr>
      </w:pPr>
      <w:r>
        <w:rPr>
          <w:rFonts w:hint="eastAsia" w:ascii="仿宋_GB2312" w:hAnsi="仿宋_GB2312" w:eastAsia="仿宋_GB2312" w:cs="仿宋_GB2312"/>
          <w:b w:val="0"/>
          <w:bCs w:val="0"/>
          <w:sz w:val="21"/>
          <w:szCs w:val="21"/>
        </w:rPr>
        <w:t>4）4xM6-6H的定位尺寸为_</w:t>
      </w:r>
      <w:r>
        <w:rPr>
          <w:rFonts w:hint="eastAsia" w:ascii="仿宋_GB2312" w:hAnsi="仿宋_GB2312" w:eastAsia="仿宋_GB2312" w:cs="仿宋_GB2312"/>
          <w:b w:val="0"/>
          <w:bCs w:val="0"/>
          <w:sz w:val="21"/>
          <w:szCs w:val="21"/>
          <w:u w:val="single"/>
        </w:rPr>
        <w:t xml:space="preserve">        </w:t>
      </w:r>
      <w:r>
        <w:rPr>
          <w:rFonts w:hint="eastAsia" w:ascii="仿宋_GB2312" w:hAnsi="仿宋_GB2312" w:eastAsia="仿宋_GB2312" w:cs="仿宋_GB2312"/>
          <w:b w:val="0"/>
          <w:bCs w:val="0"/>
          <w:sz w:val="21"/>
          <w:szCs w:val="21"/>
        </w:rPr>
        <w:t>和</w:t>
      </w:r>
      <w:r>
        <w:rPr>
          <w:rFonts w:hint="eastAsia" w:ascii="仿宋_GB2312" w:hAnsi="仿宋_GB2312" w:eastAsia="仿宋_GB2312" w:cs="仿宋_GB2312"/>
          <w:b w:val="0"/>
          <w:bCs w:val="0"/>
          <w:sz w:val="21"/>
          <w:szCs w:val="21"/>
          <w:u w:val="single"/>
        </w:rPr>
        <w:t xml:space="preserve">          ；</w:t>
      </w: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u w:val="single"/>
        </w:rPr>
      </w:pPr>
      <w:r>
        <w:rPr>
          <w:rFonts w:hint="eastAsia" w:ascii="仿宋_GB2312" w:hAnsi="仿宋_GB2312" w:eastAsia="仿宋_GB2312" w:cs="仿宋_GB2312"/>
          <w:b w:val="0"/>
          <w:bCs w:val="0"/>
          <w:sz w:val="21"/>
          <w:szCs w:val="21"/>
        </w:rPr>
        <w:t>5）肋板的厚度为</w:t>
      </w:r>
      <w:r>
        <w:rPr>
          <w:rFonts w:hint="eastAsia" w:ascii="仿宋_GB2312" w:hAnsi="仿宋_GB2312" w:eastAsia="仿宋_GB2312" w:cs="仿宋_GB2312"/>
          <w:b w:val="0"/>
          <w:bCs w:val="0"/>
          <w:sz w:val="21"/>
          <w:szCs w:val="21"/>
          <w:u w:val="single"/>
        </w:rPr>
        <w:t xml:space="preserve">         </w:t>
      </w:r>
      <w:r>
        <w:rPr>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6）退刀槽尺寸3X2中3表示槽_</w:t>
      </w:r>
      <w:r>
        <w:rPr>
          <w:rFonts w:hint="eastAsia" w:ascii="仿宋_GB2312" w:hAnsi="仿宋_GB2312" w:eastAsia="仿宋_GB2312" w:cs="仿宋_GB2312"/>
          <w:b w:val="0"/>
          <w:bCs w:val="0"/>
          <w:sz w:val="21"/>
          <w:szCs w:val="21"/>
          <w:u w:val="single"/>
        </w:rPr>
        <w:t xml:space="preserve">   </w:t>
      </w:r>
      <w:r>
        <w:rPr>
          <w:rFonts w:hint="eastAsia" w:ascii="仿宋_GB2312" w:hAnsi="仿宋_GB2312" w:eastAsia="仿宋_GB2312" w:cs="仿宋_GB2312"/>
          <w:b w:val="0"/>
          <w:bCs w:val="0"/>
          <w:sz w:val="21"/>
          <w:szCs w:val="21"/>
        </w:rPr>
        <w:t>_,2表示槽_</w:t>
      </w:r>
      <w:r>
        <w:rPr>
          <w:rFonts w:hint="eastAsia" w:ascii="仿宋_GB2312" w:hAnsi="仿宋_GB2312" w:eastAsia="仿宋_GB2312" w:cs="仿宋_GB2312"/>
          <w:b w:val="0"/>
          <w:bCs w:val="0"/>
          <w:sz w:val="21"/>
          <w:szCs w:val="21"/>
          <w:u w:val="single"/>
        </w:rPr>
        <w:t xml:space="preserve">   </w:t>
      </w:r>
      <w:r>
        <w:rPr>
          <w:rFonts w:hint="eastAsia" w:ascii="仿宋_GB2312" w:hAnsi="仿宋_GB2312" w:eastAsia="仿宋_GB2312" w:cs="仿宋_GB2312"/>
          <w:b w:val="0"/>
          <w:bCs w:val="0"/>
          <w:sz w:val="21"/>
          <w:szCs w:val="21"/>
        </w:rPr>
        <w:t>_;</w:t>
      </w: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7）指出 1、II、III三个表面的表面结构代号分别为</w:t>
      </w:r>
      <w:r>
        <w:rPr>
          <w:rFonts w:hint="eastAsia" w:ascii="仿宋_GB2312" w:hAnsi="仿宋_GB2312" w:eastAsia="仿宋_GB2312" w:cs="仿宋_GB2312"/>
          <w:b w:val="0"/>
          <w:bCs w:val="0"/>
          <w:sz w:val="21"/>
          <w:szCs w:val="21"/>
          <w:u w:val="single"/>
        </w:rPr>
        <w:t xml:space="preserve">      </w:t>
      </w:r>
      <w:r>
        <w:rPr>
          <w:rFonts w:hint="eastAsia" w:ascii="仿宋_GB2312" w:hAnsi="仿宋_GB2312" w:eastAsia="仿宋_GB2312" w:cs="仿宋_GB2312"/>
          <w:b w:val="0"/>
          <w:bCs w:val="0"/>
          <w:sz w:val="21"/>
          <w:szCs w:val="21"/>
        </w:rPr>
        <w:t xml:space="preserve"> 、_____和 </w:t>
      </w:r>
      <w:r>
        <w:rPr>
          <w:rFonts w:hint="eastAsia" w:ascii="仿宋_GB2312" w:hAnsi="仿宋_GB2312" w:eastAsia="仿宋_GB2312" w:cs="仿宋_GB2312"/>
          <w:b w:val="0"/>
          <w:bCs w:val="0"/>
          <w:sz w:val="21"/>
          <w:szCs w:val="21"/>
          <w:u w:val="single"/>
        </w:rPr>
        <w:t xml:space="preserve">      </w:t>
      </w:r>
      <w:r>
        <w:rPr>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color w:val="00B0F0"/>
          <w:sz w:val="21"/>
          <w:szCs w:val="21"/>
        </w:rPr>
        <w:drawing>
          <wp:anchor distT="0" distB="0" distL="114300" distR="114300" simplePos="0" relativeHeight="251661312" behindDoc="0" locked="0" layoutInCell="1" allowOverlap="1">
            <wp:simplePos x="0" y="0"/>
            <wp:positionH relativeFrom="margin">
              <wp:align>right</wp:align>
            </wp:positionH>
            <wp:positionV relativeFrom="paragraph">
              <wp:posOffset>47625</wp:posOffset>
            </wp:positionV>
            <wp:extent cx="5247005" cy="3368675"/>
            <wp:effectExtent l="0" t="0" r="0" b="3175"/>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247057" cy="3368675"/>
                    </a:xfrm>
                    <a:prstGeom prst="rect">
                      <a:avLst/>
                    </a:prstGeom>
                    <a:noFill/>
                    <a:ln>
                      <a:noFill/>
                    </a:ln>
                  </pic:spPr>
                </pic:pic>
              </a:graphicData>
            </a:graphic>
          </wp:anchor>
        </w:drawing>
      </w: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color w:val="00B0F0"/>
          <w:sz w:val="21"/>
          <w:szCs w:val="21"/>
        </w:rPr>
      </w:pPr>
    </w:p>
    <w:p>
      <w:pPr>
        <w:keepNext w:val="0"/>
        <w:keepLines w:val="0"/>
        <w:pageBreakBefore w:val="0"/>
        <w:kinsoku/>
        <w:wordWrap/>
        <w:overflowPunct/>
        <w:topLinePunct w:val="0"/>
        <w:bidi w:val="0"/>
        <w:snapToGrid w:val="0"/>
        <w:spacing w:line="240" w:lineRule="auto"/>
        <w:ind w:right="0" w:rightChars="0"/>
        <w:rPr>
          <w:rFonts w:hint="eastAsia" w:ascii="仿宋_GB2312" w:hAnsi="仿宋_GB2312" w:eastAsia="仿宋_GB2312" w:cs="仿宋_GB2312"/>
          <w:b w:val="0"/>
          <w:bCs w:val="0"/>
          <w:color w:val="00B0F0"/>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Microsoft JhengHei">
    <w:panose1 w:val="020B0604030504040204"/>
    <w:charset w:val="88"/>
    <w:family w:val="swiss"/>
    <w:pitch w:val="default"/>
    <w:sig w:usb0="000002A7" w:usb1="28CF4400" w:usb2="00000016" w:usb3="00000000" w:csb0="00100009"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80"/>
    <w:family w:val="swiss"/>
    <w:pitch w:val="default"/>
    <w:sig w:usb0="00000000" w:usb1="00000000" w:usb2="0000003F" w:usb3="00000000" w:csb0="603F01FF" w:csb1="FFFF0000"/>
  </w:font>
  <w:font w:name="等线 Light">
    <w:panose1 w:val="02010600030101010101"/>
    <w:charset w:val="86"/>
    <w:family w:val="auto"/>
    <w:pitch w:val="default"/>
    <w:sig w:usb0="A00002BF" w:usb1="38CF7CFA" w:usb2="00000016" w:usb3="00000000" w:csb0="0004000F" w:csb1="00000000"/>
  </w:font>
  <w:font w:name="楷体_GB2312">
    <w:altName w:val="楷体"/>
    <w:panose1 w:val="020B0604020202020204"/>
    <w:charset w:val="86"/>
    <w:family w:val="modern"/>
    <w:pitch w:val="default"/>
    <w:sig w:usb0="00000000" w:usb1="00000000" w:usb2="00000010" w:usb3="00000000" w:csb0="00040001"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Arial">
    <w:panose1 w:val="020B0604020202020204"/>
    <w:charset w:val="80"/>
    <w:family w:val="swiss"/>
    <w:pitch w:val="default"/>
    <w:sig w:usb0="E0002EFF" w:usb1="C000785B" w:usb2="00000009" w:usb3="00000000" w:csb0="400001FF" w:csb1="FFFF0000"/>
  </w:font>
  <w:font w:name="楷体_GB2312">
    <w:altName w:val="楷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F4D3F2"/>
    <w:multiLevelType w:val="singleLevel"/>
    <w:tmpl w:val="88F4D3F2"/>
    <w:lvl w:ilvl="0" w:tentative="0">
      <w:start w:val="3"/>
      <w:numFmt w:val="chineseCounting"/>
      <w:suff w:val="nothing"/>
      <w:lvlText w:val="%1、"/>
      <w:lvlJc w:val="left"/>
      <w:pPr>
        <w:ind w:left="440" w:firstLine="0"/>
      </w:pPr>
      <w:rPr>
        <w:rFonts w:hint="eastAsia"/>
      </w:rPr>
    </w:lvl>
  </w:abstractNum>
  <w:abstractNum w:abstractNumId="1">
    <w:nsid w:val="8A768001"/>
    <w:multiLevelType w:val="singleLevel"/>
    <w:tmpl w:val="8A768001"/>
    <w:lvl w:ilvl="0" w:tentative="0">
      <w:start w:val="5"/>
      <w:numFmt w:val="chineseCounting"/>
      <w:suff w:val="space"/>
      <w:lvlText w:val="第%1章"/>
      <w:lvlJc w:val="left"/>
      <w:rPr>
        <w:rFonts w:hint="eastAsia"/>
      </w:rPr>
    </w:lvl>
  </w:abstractNum>
  <w:abstractNum w:abstractNumId="2">
    <w:nsid w:val="F614F8A8"/>
    <w:multiLevelType w:val="singleLevel"/>
    <w:tmpl w:val="F614F8A8"/>
    <w:lvl w:ilvl="0" w:tentative="0">
      <w:start w:val="4"/>
      <w:numFmt w:val="chineseCounting"/>
      <w:suff w:val="nothing"/>
      <w:lvlText w:val="%1、"/>
      <w:lvlJc w:val="left"/>
      <w:pPr>
        <w:ind w:left="150"/>
      </w:pPr>
      <w:rPr>
        <w:rFonts w:hint="eastAsia" w:ascii="宋体" w:hAnsi="宋体" w:eastAsia="宋体" w:cs="宋体"/>
        <w:b/>
        <w:bCs/>
        <w:color w:val="auto"/>
      </w:rPr>
    </w:lvl>
  </w:abstractNum>
  <w:abstractNum w:abstractNumId="3">
    <w:nsid w:val="39544149"/>
    <w:multiLevelType w:val="singleLevel"/>
    <w:tmpl w:val="39544149"/>
    <w:lvl w:ilvl="0" w:tentative="0">
      <w:start w:val="1"/>
      <w:numFmt w:val="chineseCounting"/>
      <w:suff w:val="space"/>
      <w:lvlText w:val="第%1章"/>
      <w:lvlJc w:val="left"/>
      <w:rPr>
        <w:rFonts w:hint="eastAsia"/>
      </w:rPr>
    </w:lvl>
  </w:abstractNum>
  <w:abstractNum w:abstractNumId="4">
    <w:nsid w:val="3F410D9A"/>
    <w:multiLevelType w:val="singleLevel"/>
    <w:tmpl w:val="3F410D9A"/>
    <w:lvl w:ilvl="0" w:tentative="0">
      <w:start w:val="2"/>
      <w:numFmt w:val="chineseCounting"/>
      <w:suff w:val="nothing"/>
      <w:lvlText w:val="%1、"/>
      <w:lvlJc w:val="left"/>
      <w:rPr>
        <w:rFonts w:hint="eastAsia"/>
      </w:rPr>
    </w:lvl>
  </w:abstractNum>
  <w:abstractNum w:abstractNumId="5">
    <w:nsid w:val="57DA1854"/>
    <w:multiLevelType w:val="multilevel"/>
    <w:tmpl w:val="57DA1854"/>
    <w:lvl w:ilvl="0" w:tentative="0">
      <w:start w:val="3"/>
      <w:numFmt w:val="japaneseCounting"/>
      <w:lvlText w:val="%1、"/>
      <w:lvlJc w:val="left"/>
      <w:pPr>
        <w:ind w:left="986" w:hanging="504"/>
      </w:pPr>
      <w:rPr>
        <w:rFonts w:hint="default"/>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7AF146E0"/>
    <w:multiLevelType w:val="multilevel"/>
    <w:tmpl w:val="7AF146E0"/>
    <w:lvl w:ilvl="0" w:tentative="0">
      <w:start w:val="1"/>
      <w:numFmt w:val="decimal"/>
      <w:lvlText w:val="%1"/>
      <w:lvlJc w:val="left"/>
      <w:pPr>
        <w:ind w:left="480" w:hanging="480"/>
      </w:pPr>
      <w:rPr>
        <w:rFonts w:hint="default"/>
      </w:rPr>
    </w:lvl>
    <w:lvl w:ilvl="1" w:tentative="0">
      <w:start w:val="1"/>
      <w:numFmt w:val="decimal"/>
      <w:lvlText w:val="%1.%2"/>
      <w:lvlJc w:val="left"/>
      <w:pPr>
        <w:ind w:left="960" w:hanging="480"/>
      </w:pPr>
      <w:rPr>
        <w:rFonts w:hint="default"/>
      </w:rPr>
    </w:lvl>
    <w:lvl w:ilvl="2" w:tentative="0">
      <w:start w:val="1"/>
      <w:numFmt w:val="decimal"/>
      <w:lvlText w:val="%1.%2.%3"/>
      <w:lvlJc w:val="left"/>
      <w:pPr>
        <w:ind w:left="1680" w:hanging="720"/>
      </w:pPr>
      <w:rPr>
        <w:rFonts w:hint="default"/>
      </w:rPr>
    </w:lvl>
    <w:lvl w:ilvl="3" w:tentative="0">
      <w:start w:val="1"/>
      <w:numFmt w:val="decimal"/>
      <w:lvlText w:val="%1.%2.%3.%4"/>
      <w:lvlJc w:val="left"/>
      <w:pPr>
        <w:ind w:left="2520" w:hanging="1080"/>
      </w:pPr>
      <w:rPr>
        <w:rFonts w:hint="default"/>
      </w:rPr>
    </w:lvl>
    <w:lvl w:ilvl="4" w:tentative="0">
      <w:start w:val="1"/>
      <w:numFmt w:val="decimal"/>
      <w:lvlText w:val="%1.%2.%3.%4.%5"/>
      <w:lvlJc w:val="left"/>
      <w:pPr>
        <w:ind w:left="3000" w:hanging="1080"/>
      </w:pPr>
      <w:rPr>
        <w:rFonts w:hint="default"/>
      </w:rPr>
    </w:lvl>
    <w:lvl w:ilvl="5" w:tentative="0">
      <w:start w:val="1"/>
      <w:numFmt w:val="decimal"/>
      <w:lvlText w:val="%1.%2.%3.%4.%5.%6"/>
      <w:lvlJc w:val="left"/>
      <w:pPr>
        <w:ind w:left="3840" w:hanging="1440"/>
      </w:pPr>
      <w:rPr>
        <w:rFonts w:hint="default"/>
      </w:rPr>
    </w:lvl>
    <w:lvl w:ilvl="6" w:tentative="0">
      <w:start w:val="1"/>
      <w:numFmt w:val="decimal"/>
      <w:lvlText w:val="%1.%2.%3.%4.%5.%6.%7"/>
      <w:lvlJc w:val="left"/>
      <w:pPr>
        <w:ind w:left="4680" w:hanging="1800"/>
      </w:pPr>
      <w:rPr>
        <w:rFonts w:hint="default"/>
      </w:rPr>
    </w:lvl>
    <w:lvl w:ilvl="7" w:tentative="0">
      <w:start w:val="1"/>
      <w:numFmt w:val="decimal"/>
      <w:lvlText w:val="%1.%2.%3.%4.%5.%6.%7.%8"/>
      <w:lvlJc w:val="left"/>
      <w:pPr>
        <w:ind w:left="5160" w:hanging="1800"/>
      </w:pPr>
      <w:rPr>
        <w:rFonts w:hint="default"/>
      </w:rPr>
    </w:lvl>
    <w:lvl w:ilvl="8" w:tentative="0">
      <w:start w:val="1"/>
      <w:numFmt w:val="decimal"/>
      <w:lvlText w:val="%1.%2.%3.%4.%5.%6.%7.%8.%9"/>
      <w:lvlJc w:val="left"/>
      <w:pPr>
        <w:ind w:left="6000" w:hanging="2160"/>
      </w:pPr>
      <w:rPr>
        <w:rFonts w:hint="default"/>
      </w:rPr>
    </w:lvl>
  </w:abstractNum>
  <w:num w:numId="1">
    <w:abstractNumId w:val="2"/>
  </w:num>
  <w:num w:numId="2">
    <w:abstractNumId w:val="3"/>
  </w:num>
  <w:num w:numId="3">
    <w:abstractNumId w:val="4"/>
  </w:num>
  <w:num w:numId="4">
    <w:abstractNumId w:val="6"/>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Y2MjE4NTMzMDI4MzZjNDk4ZDY5NWE0MmU5ZTYyZDEifQ=="/>
  </w:docVars>
  <w:rsids>
    <w:rsidRoot w:val="009C7413"/>
    <w:rsid w:val="000268CE"/>
    <w:rsid w:val="00033059"/>
    <w:rsid w:val="00033531"/>
    <w:rsid w:val="00142ECE"/>
    <w:rsid w:val="002112E9"/>
    <w:rsid w:val="0021674D"/>
    <w:rsid w:val="00223D78"/>
    <w:rsid w:val="002923E6"/>
    <w:rsid w:val="002965F5"/>
    <w:rsid w:val="003024EA"/>
    <w:rsid w:val="003323E0"/>
    <w:rsid w:val="00355E9D"/>
    <w:rsid w:val="003A74CC"/>
    <w:rsid w:val="003E4781"/>
    <w:rsid w:val="003E608B"/>
    <w:rsid w:val="003E6DE4"/>
    <w:rsid w:val="004475AF"/>
    <w:rsid w:val="004B0FF7"/>
    <w:rsid w:val="004E2A5B"/>
    <w:rsid w:val="00512A64"/>
    <w:rsid w:val="00522A4F"/>
    <w:rsid w:val="00565969"/>
    <w:rsid w:val="006760D5"/>
    <w:rsid w:val="006D6211"/>
    <w:rsid w:val="007D39E4"/>
    <w:rsid w:val="007F7270"/>
    <w:rsid w:val="008363D1"/>
    <w:rsid w:val="00892FE1"/>
    <w:rsid w:val="008A6B1B"/>
    <w:rsid w:val="008D549A"/>
    <w:rsid w:val="008F7BF8"/>
    <w:rsid w:val="00995AF1"/>
    <w:rsid w:val="009A56BA"/>
    <w:rsid w:val="009C7413"/>
    <w:rsid w:val="00A3077A"/>
    <w:rsid w:val="00A77DB9"/>
    <w:rsid w:val="00AA0059"/>
    <w:rsid w:val="00C01574"/>
    <w:rsid w:val="00C113D9"/>
    <w:rsid w:val="00C1290D"/>
    <w:rsid w:val="00C33D0D"/>
    <w:rsid w:val="00C757D7"/>
    <w:rsid w:val="00D22777"/>
    <w:rsid w:val="00D36C12"/>
    <w:rsid w:val="00D7650B"/>
    <w:rsid w:val="00DD2573"/>
    <w:rsid w:val="00E91E2E"/>
    <w:rsid w:val="00EA1F6E"/>
    <w:rsid w:val="00F20937"/>
    <w:rsid w:val="00F346EB"/>
    <w:rsid w:val="00F5075C"/>
    <w:rsid w:val="00F512FB"/>
    <w:rsid w:val="016025FC"/>
    <w:rsid w:val="019D2150"/>
    <w:rsid w:val="02567F15"/>
    <w:rsid w:val="02691984"/>
    <w:rsid w:val="03577DA5"/>
    <w:rsid w:val="035B1B31"/>
    <w:rsid w:val="03E56DE9"/>
    <w:rsid w:val="03F86B1C"/>
    <w:rsid w:val="06712BB6"/>
    <w:rsid w:val="0884385E"/>
    <w:rsid w:val="097E3F67"/>
    <w:rsid w:val="0ABE31A9"/>
    <w:rsid w:val="0B204BAA"/>
    <w:rsid w:val="0E5E6115"/>
    <w:rsid w:val="0F957915"/>
    <w:rsid w:val="0FCD5301"/>
    <w:rsid w:val="1170719A"/>
    <w:rsid w:val="11916802"/>
    <w:rsid w:val="13632E3B"/>
    <w:rsid w:val="14F83E5A"/>
    <w:rsid w:val="1695469E"/>
    <w:rsid w:val="17566525"/>
    <w:rsid w:val="17D13AF8"/>
    <w:rsid w:val="19876DE5"/>
    <w:rsid w:val="1B2E6E70"/>
    <w:rsid w:val="1B4B7D0D"/>
    <w:rsid w:val="1B9E1A22"/>
    <w:rsid w:val="1D7E5E8C"/>
    <w:rsid w:val="1DF27B5F"/>
    <w:rsid w:val="20044795"/>
    <w:rsid w:val="216E7FC6"/>
    <w:rsid w:val="21D95AAF"/>
    <w:rsid w:val="2419690F"/>
    <w:rsid w:val="24F33604"/>
    <w:rsid w:val="26B40B71"/>
    <w:rsid w:val="275A1718"/>
    <w:rsid w:val="290C6955"/>
    <w:rsid w:val="2B522706"/>
    <w:rsid w:val="2B6F5509"/>
    <w:rsid w:val="2DFB52D7"/>
    <w:rsid w:val="2F827A5E"/>
    <w:rsid w:val="31232B7B"/>
    <w:rsid w:val="3159738D"/>
    <w:rsid w:val="35156C7E"/>
    <w:rsid w:val="354A647F"/>
    <w:rsid w:val="35555B77"/>
    <w:rsid w:val="39400042"/>
    <w:rsid w:val="3DB86545"/>
    <w:rsid w:val="3EA3180F"/>
    <w:rsid w:val="3EEB0A50"/>
    <w:rsid w:val="410D73A4"/>
    <w:rsid w:val="413466DE"/>
    <w:rsid w:val="41C9151C"/>
    <w:rsid w:val="43B53622"/>
    <w:rsid w:val="4473751E"/>
    <w:rsid w:val="45CE4D82"/>
    <w:rsid w:val="46503FBA"/>
    <w:rsid w:val="49261002"/>
    <w:rsid w:val="49311755"/>
    <w:rsid w:val="4AC62A9D"/>
    <w:rsid w:val="4BBC17AA"/>
    <w:rsid w:val="4C910E89"/>
    <w:rsid w:val="4E772300"/>
    <w:rsid w:val="4F9A0054"/>
    <w:rsid w:val="508605D9"/>
    <w:rsid w:val="529D4E6A"/>
    <w:rsid w:val="52B23907"/>
    <w:rsid w:val="52C906E0"/>
    <w:rsid w:val="52CD24EF"/>
    <w:rsid w:val="52F85C23"/>
    <w:rsid w:val="530B4689"/>
    <w:rsid w:val="54613836"/>
    <w:rsid w:val="550A5C7C"/>
    <w:rsid w:val="55FE6EC2"/>
    <w:rsid w:val="56DB78D0"/>
    <w:rsid w:val="579B14B0"/>
    <w:rsid w:val="581A550C"/>
    <w:rsid w:val="58830328"/>
    <w:rsid w:val="591F781C"/>
    <w:rsid w:val="5AEB3E5A"/>
    <w:rsid w:val="5B6A1223"/>
    <w:rsid w:val="5D000DD0"/>
    <w:rsid w:val="5D027239"/>
    <w:rsid w:val="5F9C5723"/>
    <w:rsid w:val="619D21E2"/>
    <w:rsid w:val="61B04E50"/>
    <w:rsid w:val="62AE1C60"/>
    <w:rsid w:val="672C0F4F"/>
    <w:rsid w:val="69807E63"/>
    <w:rsid w:val="6E5A6ED5"/>
    <w:rsid w:val="70374DA7"/>
    <w:rsid w:val="75355CC4"/>
    <w:rsid w:val="75A10B14"/>
    <w:rsid w:val="76200A04"/>
    <w:rsid w:val="774F3472"/>
    <w:rsid w:val="77FA5285"/>
    <w:rsid w:val="7A0E5017"/>
    <w:rsid w:val="7BE97AEA"/>
    <w:rsid w:val="7C79541E"/>
    <w:rsid w:val="7D257E1F"/>
    <w:rsid w:val="7E005075"/>
    <w:rsid w:val="7E374B3D"/>
    <w:rsid w:val="7E417769"/>
    <w:rsid w:val="7EEF3669"/>
    <w:rsid w:val="7F6974B3"/>
    <w:rsid w:val="7F78540D"/>
    <w:rsid w:val="7FBD045A"/>
    <w:rsid w:val="7FCB7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unhideWhenUsed/>
    <w:qFormat/>
    <w:uiPriority w:val="1"/>
  </w:style>
  <w:style w:type="table" w:default="1" w:styleId="9">
    <w:name w:val="Normal Table"/>
    <w:unhideWhenUsed/>
    <w:qFormat/>
    <w:uiPriority w:val="99"/>
    <w:tblPr>
      <w:tblLayout w:type="fixed"/>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style>
  <w:style w:type="paragraph" w:styleId="3">
    <w:name w:val="footer"/>
    <w:basedOn w:val="1"/>
    <w:link w:val="13"/>
    <w:qFormat/>
    <w:uiPriority w:val="0"/>
    <w:pPr>
      <w:tabs>
        <w:tab w:val="center" w:pos="4153"/>
        <w:tab w:val="right" w:pos="8306"/>
      </w:tabs>
      <w:snapToGrid w:val="0"/>
      <w:jc w:val="left"/>
    </w:pPr>
    <w:rPr>
      <w:sz w:val="18"/>
      <w:szCs w:val="18"/>
    </w:rPr>
  </w:style>
  <w:style w:type="paragraph" w:styleId="4">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5">
    <w:name w:val="toc 2"/>
    <w:basedOn w:val="1"/>
    <w:next w:val="1"/>
    <w:qFormat/>
    <w:uiPriority w:val="0"/>
    <w:pPr>
      <w:tabs>
        <w:tab w:val="right" w:leader="dot" w:pos="8296"/>
      </w:tabs>
      <w:spacing w:line="360" w:lineRule="auto"/>
      <w:ind w:firstLine="480" w:firstLineChars="200"/>
    </w:pPr>
    <w:rPr>
      <w:rFonts w:ascii="宋体" w:hAnsi="宋体"/>
      <w:sz w:val="24"/>
    </w:rPr>
  </w:style>
  <w:style w:type="paragraph" w:styleId="6">
    <w:name w:val="Normal (Web)"/>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4"/>
    </w:rPr>
  </w:style>
  <w:style w:type="character" w:styleId="8">
    <w:name w:val="Hyperlink"/>
    <w:basedOn w:val="7"/>
    <w:qFormat/>
    <w:uiPriority w:val="0"/>
    <w:rPr>
      <w:color w:val="000000"/>
      <w:u w:val="none"/>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1">
    <w:name w:val="List Paragraph"/>
    <w:basedOn w:val="1"/>
    <w:qFormat/>
    <w:uiPriority w:val="99"/>
    <w:pPr>
      <w:ind w:firstLine="420" w:firstLineChars="200"/>
    </w:pPr>
  </w:style>
  <w:style w:type="character" w:customStyle="1" w:styleId="12">
    <w:name w:val="页眉 字符"/>
    <w:basedOn w:val="7"/>
    <w:link w:val="4"/>
    <w:qFormat/>
    <w:uiPriority w:val="0"/>
    <w:rPr>
      <w:rFonts w:ascii="Times New Roman" w:hAnsi="Times New Roman" w:eastAsia="宋体" w:cs="Times New Roman"/>
      <w:kern w:val="2"/>
      <w:sz w:val="18"/>
      <w:szCs w:val="18"/>
    </w:rPr>
  </w:style>
  <w:style w:type="character" w:customStyle="1" w:styleId="13">
    <w:name w:val="页脚 字符"/>
    <w:basedOn w:val="7"/>
    <w:link w:val="3"/>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3B9E58-8A91-4018-A1D0-6FEE3BBD1525}">
  <ds:schemaRefs/>
</ds:datastoreItem>
</file>

<file path=docProps/app.xml><?xml version="1.0" encoding="utf-8"?>
<Properties xmlns="http://schemas.openxmlformats.org/officeDocument/2006/extended-properties" xmlns:vt="http://schemas.openxmlformats.org/officeDocument/2006/docPropsVTypes">
  <Template>Normal</Template>
  <Company>Organization</Company>
  <Pages>17</Pages>
  <Words>8157</Words>
  <Characters>8307</Characters>
  <Lines>67</Lines>
  <Paragraphs>19</Paragraphs>
  <TotalTime>2</TotalTime>
  <ScaleCrop>false</ScaleCrop>
  <LinksUpToDate>false</LinksUpToDate>
  <CharactersWithSpaces>8474</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2023-04-01T11:55:00Z</dcterms:created>
  <dc:creator>Administrator</dc:creator>
  <cp:lastModifiedBy>梁磊</cp:lastModifiedBy>
  <dcterms:modified xsi:type="dcterms:W3CDTF">2023-07-09T03:23:34Z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E623EA0689A14E52980D37B20F5DFDC2</vt:lpwstr>
  </property>
</Properties>
</file>