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《城市轨道交通运营管理》</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课程代码：12218</w:t>
      </w:r>
      <w:r>
        <w:rPr>
          <w:rFonts w:hint="eastAsia" w:ascii="仿宋_GB2312" w:hAnsi="仿宋_GB2312" w:eastAsia="仿宋_GB2312" w:cs="仿宋_GB2312"/>
          <w:b/>
          <w:bCs/>
          <w:sz w:val="21"/>
          <w:szCs w:val="21"/>
          <w:lang w:eastAsia="zh-CN"/>
        </w:rPr>
        <w:t>）</w:t>
      </w:r>
    </w:p>
    <w:p>
      <w:pPr>
        <w:keepNext w:val="0"/>
        <w:keepLines w:val="0"/>
        <w:pageBreakBefore w:val="0"/>
        <w:widowControl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bCs/>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运营管理”是高等教育自学考试交通运输专业（专升本）考试计划中的一门专业基础课，通过本课程的学习，使学生掌握城市轨道交通系统列车开行计划方案的编制思路、运营作业的基本理论和技术原理，培养学生分析解决城市轨道交通系统运营中的实际问题的能力和从事列车开行方案编制、运营调度、组织等实际工作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设置本课程的主要目的是使学生掌握轨道交通实际运营中所涉及的基本理论及基本知识，为在轨道交通运输学科领域继续学习、从事技术工作等提供坚实的基础。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通过本课程的学习，考生应达到以下目标。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1．掌握轨道交通系统运营的基本调度组织能力，具备编制轨道交通运输全过程计划（客流分析预测、列车开行计划、运行图铺画、车底周转以及乘务计划）的能力。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2．能够通过文献资料研究，对轨道交通运输相关的复杂工程问题进行分析并获得有效结论；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3．了解轨道交通领域常用的运行经济性评价方法和运营指标评价方法，能够从节能环保和可持续化发展的角度对轨道交通的相关运营组织技术进行优化和改进。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4．能够利用掌握的城市轨道交通运营与管理知识对轨道交通的相关运营组织技术进行优化和改进。</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三、与相关课程的联系与区别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运营管理是以运输组织学、管理运筹学等为基础建立的一门独立课程，它与本专业其他课程密切相关，是其课程体系中的基础课程之一，学生在学习本门课程之前，最好先学习“城市轨道交通系统规划与设计”课程。</w:t>
      </w:r>
    </w:p>
    <w:p>
      <w:pPr>
        <w:keepNext w:val="0"/>
        <w:keepLines w:val="0"/>
        <w:pageBreakBefore w:val="0"/>
        <w:numPr>
          <w:ilvl w:val="-1"/>
          <w:numId w:val="0"/>
        </w:numPr>
        <w:kinsoku/>
        <w:wordWrap/>
        <w:overflowPunct/>
        <w:topLinePunct w:val="0"/>
        <w:autoSpaceDE/>
        <w:autoSpaceDN/>
        <w:bidi w:val="0"/>
        <w:snapToGrid w:val="0"/>
        <w:spacing w:line="240" w:lineRule="auto"/>
        <w:ind w:left="200" w:right="0" w:rightChars="0" w:firstLine="210" w:firstLineChars="1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lang w:eastAsia="zh-CN"/>
        </w:rPr>
        <w:t>四、</w:t>
      </w:r>
      <w:r>
        <w:rPr>
          <w:rFonts w:hint="eastAsia" w:ascii="仿宋_GB2312" w:hAnsi="仿宋_GB2312" w:eastAsia="仿宋_GB2312" w:cs="仿宋_GB2312"/>
          <w:b w:val="0"/>
          <w:bCs w:val="0"/>
          <w:sz w:val="21"/>
          <w:szCs w:val="21"/>
        </w:rPr>
        <w:t xml:space="preserve">课程的重点和难点 </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城市轨道交通运营管理课程的重点内容是第三章、第四章、第五章、第六章、第十章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第十一章、第十二章章节，难点内容是第三章、第五章、第六章、第十章章节，各章具体的重点和难点在大纲后面均有明确说明。</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本大纲是“城市轨道交通运营管理”课程的个人自学、社会助学和考试命题的依据，本课程的考试范围以本考试大纲所限定的内容为准。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识记：要求应考者能够对该知识点，如定义、名词、概念、性质等有清晰的认识，并能做出正确的判断和选择。。</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领会：要求应考者能够对该知识点，在识记的基础上有一定的理解，清楚地知道与有关知识点的联系与区别，并能做出正确的表述和解释。</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简单应用：要求应考者能够运用相关章节（或项目及任务）的几个知识点，解决城市轨道交通运营实际中的一般性问题。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综合应用：要应考者能够综合运用各章节（或项目及任务）多个知识点，解决城市轨道交通运营实际中稍复杂的一些问题。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绪论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本章简要介绍国内外城市轨道交通的发展历程和发展现状，初步介绍了城市轨道交通系统的特点和实际的运营管理工作包含的主要内容。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本章要求熟悉世界城市轨道交通的</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四</w:t>
      </w:r>
      <w:r>
        <w:rPr>
          <w:rFonts w:hint="eastAsia" w:ascii="仿宋_GB2312" w:hAnsi="仿宋_GB2312" w:eastAsia="仿宋_GB2312" w:cs="仿宋_GB2312"/>
          <w:b w:val="0"/>
          <w:bCs w:val="0"/>
          <w:color w:val="000000" w:themeColor="text1"/>
          <w:sz w:val="21"/>
          <w:szCs w:val="21"/>
          <w14:textFill>
            <w14:solidFill>
              <w14:schemeClr w14:val="tx1"/>
            </w14:solidFill>
          </w14:textFill>
        </w:rPr>
        <w:t>个发展阶段。了解与常规公交和私家车相比，城市轨道交通具有的独特优势。对城市轨道交通实际运营管理工作的内容有初步认知。</w:t>
      </w:r>
    </w:p>
    <w:p>
      <w:pPr>
        <w:keepNext w:val="0"/>
        <w:keepLines w:val="0"/>
        <w:pageBreakBefore w:val="0"/>
        <w:kinsoku/>
        <w:wordWrap/>
        <w:overflowPunct/>
        <w:topLinePunct w:val="0"/>
        <w:autoSpaceDE/>
        <w:autoSpaceDN/>
        <w:bidi w:val="0"/>
        <w:snapToGrid w:val="0"/>
        <w:spacing w:line="240" w:lineRule="auto"/>
        <w:ind w:right="0" w:rightChars="0" w:firstLine="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1</w:t>
      </w: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国外城市轨道交通发展历程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2</w:t>
      </w: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城市轨道交通系统特点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3</w:t>
      </w:r>
      <w:r>
        <w:rPr>
          <w:rFonts w:hint="eastAsia" w:ascii="仿宋_GB2312" w:hAnsi="仿宋_GB2312" w:eastAsia="仿宋_GB2312" w:cs="仿宋_GB2312"/>
          <w:b w:val="0"/>
          <w:bCs w:val="0"/>
          <w:color w:val="000000" w:themeColor="text1"/>
          <w:sz w:val="21"/>
          <w:szCs w:val="21"/>
          <w14:textFill>
            <w14:solidFill>
              <w14:schemeClr w14:val="tx1"/>
            </w14:solidFill>
          </w14:textFill>
        </w:rPr>
        <w:t xml:space="preserve"> 运营管理主要工作内容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国外城市轨道交通发展历程</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w:t>
      </w:r>
      <w:bookmarkStart w:id="0" w:name="_Hlk130917586"/>
      <w:r>
        <w:rPr>
          <w:rFonts w:hint="eastAsia" w:ascii="仿宋_GB2312" w:hAnsi="仿宋_GB2312" w:eastAsia="仿宋_GB2312" w:cs="仿宋_GB2312"/>
          <w:b w:val="0"/>
          <w:bCs w:val="0"/>
          <w:color w:val="000000" w:themeColor="text1"/>
          <w:sz w:val="21"/>
          <w:szCs w:val="21"/>
          <w14:textFill>
            <w14:solidFill>
              <w14:schemeClr w14:val="tx1"/>
            </w14:solidFill>
          </w14:textFill>
        </w:rPr>
        <w:t>世界城市轨道交通的四个发展阶段</w:t>
      </w:r>
      <w:bookmarkEnd w:id="0"/>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领会：世界城市轨道交通发展受到的影响因素。</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（二）城市轨道交通系统特点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识记：与常规公交和私家车相比，城市轨道交通具有的特点（包括优点和缺点）。</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（三）运营管理主要工作内容</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识记：城市轨道交通运营管理工作的主要内容。</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领会：城市轨道交通运营管理工作归纳为理论、技术、管理和政策四个方面。</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：世界城市轨道交通的四个发展阶段，与常规公交和私家车相比，城市轨道交通具有的特点（包括优点和缺点）。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t>本章的难点：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与常规公交和私家车相比，城市轨道交通具有的特点（包括优点和缺点）。</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城市轨道交通系统技术经济特征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从城市轨道交通系统的分类入手，分析了现有的不同类型的城市轨道交通系统的技术经济特性和运营特征，从时间与空间角度探讨了城市轨道交通系统运营组织的特点和原理，剖析了运营组织工作的主要目标和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本章要求考生熟悉轨道交通系统的分类和技术经济特征，理解城市轨道交通运营功能方面的三大系统之间的内在关系。</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2.1 城市轨道交通系统的分类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2.2 城市轨道交通系统及技术经济特征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2.3 城市轨道交通系统的运输组织特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城市轨道交通系统的分类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识记：城市轨道交通系统的定义，城市轨道交通在不同标准下的分类情况。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（二）城市轨道交通系统技术经济特征</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识记：不同城市轨道交通系统的主要技术经济参数。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领会：不同城市轨道交通系统技术经济特征之间的差异。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简单应用：不同技术经济指标特征的城市轨道交通系统的适用性。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（三）城市轨道交通系统的运输组织特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识记：城市轨道交通运营功能方面的三大系统。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领会：城市轨道交通系统具有的运输组织特性。</w:t>
      </w:r>
    </w:p>
    <w:p>
      <w:pPr>
        <w:keepNext w:val="0"/>
        <w:keepLines w:val="0"/>
        <w:pageBreakBefore w:val="0"/>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简单应用：能够分析城市轨道交通系统的运输组织特性的合理性所在</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left="0" w:leftChars="0"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综合应用：在实际工程选用时，不同技术经济特征的城市轨道交通系统的适用性。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sz w:val="21"/>
          <w:szCs w:val="21"/>
        </w:rPr>
        <w:t>本章的重点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：不同出行形式交通的定义和区分方法。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w:t>
      </w:r>
      <w:r>
        <w:rPr>
          <w:rFonts w:hint="eastAsia" w:ascii="仿宋_GB2312" w:hAnsi="仿宋_GB2312" w:eastAsia="仿宋_GB2312" w:cs="仿宋_GB2312"/>
          <w:b w:val="0"/>
          <w:bCs w:val="0"/>
          <w:color w:val="000000" w:themeColor="text1"/>
          <w:sz w:val="21"/>
          <w:szCs w:val="21"/>
          <w14:textFill>
            <w14:solidFill>
              <w14:schemeClr w14:val="tx1"/>
            </w14:solidFill>
          </w14:textFill>
        </w:rPr>
        <w:t>不同出行形式交通的定义和区分方法。</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列车运行和乘客出行的基本概念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2E75B6" w:themeColor="accent1" w:themeShade="BF"/>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介绍列车运行和乘客出行的一些基本概念，包括组成运营系统最基本的元素，例如线路、车辆和客流；对服务水平的评价指标；例如发车频率和发车间隔；对运营系统能力和运输效率的统计指标，例如断面运力、定员公里等；以及从不同角度来衡量的时间和速度，例如列车运营时间和速度、乘客出行时间和速度等</w:t>
      </w:r>
      <w:r>
        <w:rPr>
          <w:rFonts w:hint="eastAsia" w:ascii="仿宋_GB2312" w:hAnsi="仿宋_GB2312" w:eastAsia="仿宋_GB2312" w:cs="仿宋_GB2312"/>
          <w:b w:val="0"/>
          <w:bCs w:val="0"/>
          <w:color w:val="2E75B6" w:themeColor="accent1" w:themeShade="BF"/>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本章要求考生建立城市轨道交通系统运营管理的基本理论框架，为学习后续章节奠定基础。</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3.1 运营基本要素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3.2 运营服务水平</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3.3 运力和运输效率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3.4 车辆速度和线路速度</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3.5 列车运营里程、时间和速度</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3.6 乘客出行距离、时间和速度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210" w:firstLine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运营基本要素</w:t>
      </w:r>
    </w:p>
    <w:p>
      <w:pPr>
        <w:keepNext w:val="0"/>
        <w:keepLines w:val="0"/>
        <w:pageBreakBefore w:val="0"/>
        <w:kinsoku/>
        <w:wordWrap/>
        <w:overflowPunct/>
        <w:topLinePunct w:val="0"/>
        <w:autoSpaceDE/>
        <w:autoSpaceDN/>
        <w:bidi w:val="0"/>
        <w:snapToGrid w:val="0"/>
        <w:spacing w:line="240" w:lineRule="auto"/>
        <w:ind w:left="689" w:leftChars="228" w:right="0" w:rightChars="0" w:hanging="210" w:hanging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识记：线路、车站和路权的概念，车辆车组和列车的概念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left="689" w:leftChars="228" w:right="0" w:rightChars="0" w:hanging="210" w:hanging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领会：发生量、吸引量、出行量和断面客流量的计算。</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运营服务水平</w:t>
      </w:r>
    </w:p>
    <w:p>
      <w:pPr>
        <w:keepNext w:val="0"/>
        <w:keepLines w:val="0"/>
        <w:pageBreakBefore w:val="0"/>
        <w:kinsoku/>
        <w:wordWrap/>
        <w:overflowPunct/>
        <w:topLinePunct w:val="0"/>
        <w:autoSpaceDE/>
        <w:autoSpaceDN/>
        <w:bidi w:val="0"/>
        <w:snapToGrid w:val="0"/>
        <w:spacing w:line="240" w:lineRule="auto"/>
        <w:ind w:left="689" w:leftChars="228" w:right="0" w:rightChars="0" w:hanging="210" w:hanging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识记：发车间隔与发车频率，运营时间、满载率、正点率。</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运力和运输效率</w:t>
      </w:r>
    </w:p>
    <w:p>
      <w:pPr>
        <w:keepNext w:val="0"/>
        <w:keepLines w:val="0"/>
        <w:pageBreakBefore w:val="0"/>
        <w:kinsoku/>
        <w:wordWrap/>
        <w:overflowPunct/>
        <w:topLinePunct w:val="0"/>
        <w:autoSpaceDE/>
        <w:autoSpaceDN/>
        <w:bidi w:val="0"/>
        <w:snapToGrid w:val="0"/>
        <w:spacing w:line="240" w:lineRule="auto"/>
        <w:ind w:left="689" w:leftChars="228" w:right="0" w:rightChars="0" w:hanging="210" w:hangingChars="1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领会：断面运力、定员公里、运输效率的计算。</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车辆速度和线路速度</w:t>
      </w:r>
    </w:p>
    <w:p>
      <w:pPr>
        <w:keepNext w:val="0"/>
        <w:keepLines w:val="0"/>
        <w:pageBreakBefore w:val="0"/>
        <w:kinsoku/>
        <w:wordWrap/>
        <w:overflowPunct/>
        <w:topLinePunct w:val="0"/>
        <w:autoSpaceDE/>
        <w:autoSpaceDN/>
        <w:bidi w:val="0"/>
        <w:snapToGrid w:val="0"/>
        <w:spacing w:line="240" w:lineRule="auto"/>
        <w:ind w:left="1109" w:leftChars="228"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领会：车辆速度和线路速度的各种概念定义。</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 列车运营里程、时间和速度</w:t>
      </w:r>
    </w:p>
    <w:p>
      <w:pPr>
        <w:keepNext w:val="0"/>
        <w:keepLines w:val="0"/>
        <w:pageBreakBefore w:val="0"/>
        <w:kinsoku/>
        <w:wordWrap/>
        <w:overflowPunct/>
        <w:topLinePunct w:val="0"/>
        <w:autoSpaceDE/>
        <w:autoSpaceDN/>
        <w:bidi w:val="0"/>
        <w:snapToGrid w:val="0"/>
        <w:spacing w:line="240" w:lineRule="auto"/>
        <w:ind w:left="1109" w:leftChars="228" w:right="0" w:rightChars="0" w:hanging="630" w:hangingChars="3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简单应用：能够根据已知数据计算列车运营种的里程、时间和速度等指标。</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（六） 乘客出行距离、时间和速度</w:t>
      </w:r>
    </w:p>
    <w:p>
      <w:pPr>
        <w:keepNext w:val="0"/>
        <w:keepLines w:val="0"/>
        <w:pageBreakBefore w:val="0"/>
        <w:kinsoku/>
        <w:wordWrap/>
        <w:overflowPunct/>
        <w:topLinePunct w:val="0"/>
        <w:autoSpaceDE/>
        <w:autoSpaceDN/>
        <w:bidi w:val="0"/>
        <w:snapToGrid w:val="0"/>
        <w:spacing w:line="240" w:lineRule="auto"/>
        <w:ind w:left="680" w:leftChars="227" w:right="0" w:rightChars="0" w:hanging="203" w:hangingChars="97"/>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识记：接近距离，在车距离，接近时间，等待时间，在车时间，换乘时间，总出行时间，接近速度，在车速度，旅行速度</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left="680" w:leftChars="227" w:right="0" w:rightChars="0" w:hanging="203" w:hangingChars="97"/>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综合应用：能够从不同角度衡量列车运行与乘客出行时间和速度的指标。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本章的重点：反映供需匹配程度的相关指标以及从不同角度衡量列车运行于乘客出行时间和速度的指标。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本章的难点：断面客流的计算。</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客流特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性</w:t>
      </w:r>
      <w:r>
        <w:rPr>
          <w:rFonts w:hint="eastAsia" w:ascii="仿宋_GB2312" w:hAnsi="仿宋_GB2312" w:eastAsia="仿宋_GB2312" w:cs="仿宋_GB2312"/>
          <w:b w:val="0"/>
          <w:bCs w:val="0"/>
          <w:color w:val="000000" w:themeColor="text1"/>
          <w:sz w:val="21"/>
          <w:szCs w:val="21"/>
          <w14:textFill>
            <w14:solidFill>
              <w14:schemeClr w14:val="tx1"/>
            </w14:solidFill>
          </w14:textFill>
        </w:rPr>
        <w:t>分析和服务设计原理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2E75B6" w:themeColor="accent1" w:themeShade="BF"/>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本章对城市轨道交通客流的特性进行了分析，并在此基础上对运营服务的设计原理进行了探讨。</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本章在学生学习时应注意兼顾乘客和运营机构两方面的成本，深入体会设计满载率在不同客流需求下的变化。</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4.1 客流特性分析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4.2 运营服务设计原理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4.3 乘客出行特性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客流特征分析</w:t>
      </w:r>
    </w:p>
    <w:p>
      <w:pPr>
        <w:keepNext w:val="0"/>
        <w:keepLines w:val="0"/>
        <w:pageBreakBefore w:val="0"/>
        <w:kinsoku/>
        <w:wordWrap/>
        <w:overflowPunct/>
        <w:topLinePunct w:val="0"/>
        <w:autoSpaceDE/>
        <w:autoSpaceDN/>
        <w:bidi w:val="0"/>
        <w:snapToGrid w:val="0"/>
        <w:spacing w:line="240" w:lineRule="auto"/>
        <w:ind w:right="0" w:rightChars="0" w:firstLine="619" w:firstLineChars="2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识记：潜在出行需求。</w:t>
      </w:r>
    </w:p>
    <w:p>
      <w:pPr>
        <w:keepNext w:val="0"/>
        <w:keepLines w:val="0"/>
        <w:pageBreakBefore w:val="0"/>
        <w:kinsoku/>
        <w:wordWrap/>
        <w:overflowPunct/>
        <w:topLinePunct w:val="0"/>
        <w:autoSpaceDE/>
        <w:autoSpaceDN/>
        <w:bidi w:val="0"/>
        <w:snapToGrid w:val="0"/>
        <w:spacing w:line="240" w:lineRule="auto"/>
        <w:ind w:right="0" w:rightChars="0" w:firstLine="619" w:firstLineChars="2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领会：城市轨道交通客流的空间分布规律及时间分布规律。</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运营服务设计原理</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简单应用：发车间隔与乘客及运营机构成本之间的关系</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综合应用：能够利用列车开行效果图分析充分利用运输能力满足需求变化的方法。</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乘客出行特性</w:t>
      </w:r>
    </w:p>
    <w:p>
      <w:pPr>
        <w:keepNext w:val="0"/>
        <w:keepLines w:val="0"/>
        <w:pageBreakBefore w:val="0"/>
        <w:kinsoku/>
        <w:wordWrap/>
        <w:overflowPunct/>
        <w:topLinePunct w:val="0"/>
        <w:autoSpaceDE/>
        <w:autoSpaceDN/>
        <w:bidi w:val="0"/>
        <w:snapToGrid w:val="0"/>
        <w:spacing w:line="240" w:lineRule="auto"/>
        <w:ind w:right="0" w:rightChars="0" w:firstLine="619" w:firstLineChars="2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识记：客流特征指标的概念。</w:t>
      </w:r>
    </w:p>
    <w:p>
      <w:pPr>
        <w:keepNext w:val="0"/>
        <w:keepLines w:val="0"/>
        <w:pageBreakBefore w:val="0"/>
        <w:kinsoku/>
        <w:wordWrap/>
        <w:overflowPunct/>
        <w:topLinePunct w:val="0"/>
        <w:autoSpaceDE/>
        <w:autoSpaceDN/>
        <w:bidi w:val="0"/>
        <w:snapToGrid w:val="0"/>
        <w:spacing w:line="240" w:lineRule="auto"/>
        <w:ind w:right="0" w:rightChars="0" w:firstLine="619" w:firstLineChars="2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领会：客流特征指标的计算。</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本章的重点：客流特征指标，发车间隔的合理选取方法。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本章的难点：发车间隔的合理选取方法，乘客交换系数的计算。</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运营计划编制技术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对城市轨道交通系统的运营计划编制技术进行了介绍，主要包括列车开行计划的编制、列车运行图的编制和乘务计划的制订。此外，本章还对环线、含支线路、单线等特殊线路运营计划的编制特点进行了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一方面从上一章说介绍的服务设计原理的理想状况出发，结合客流的时空不确定性和运力的自然属性，深入体会分项目制订运营计划时每个计划所需要解决的科学问题；另一方面也要通过大量的思维训练，在实际的列车运行和纸面的空间坐标系之间建立对应关系，熟练掌握列车运行图这种轨道交通领域的重要工具。</w:t>
      </w:r>
    </w:p>
    <w:p>
      <w:pPr>
        <w:keepNext w:val="0"/>
        <w:keepLines w:val="0"/>
        <w:pageBreakBefore w:val="0"/>
        <w:kinsoku/>
        <w:wordWrap/>
        <w:overflowPunct/>
        <w:topLinePunct w:val="0"/>
        <w:autoSpaceDE/>
        <w:autoSpaceDN/>
        <w:bidi w:val="0"/>
        <w:snapToGrid w:val="0"/>
        <w:spacing w:line="240" w:lineRule="auto"/>
        <w:ind w:right="0" w:rightChars="0" w:firstLine="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5.1 运营计划组成和编制流程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5.2 列车开行计划的编制</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5.3 列车运行图的编制</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5.4 乘务计划的制</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定</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5.5 特殊线路运营计划的编制特点</w:t>
      </w:r>
    </w:p>
    <w:p>
      <w:pPr>
        <w:keepNext w:val="0"/>
        <w:keepLines w:val="0"/>
        <w:pageBreakBefore w:val="0"/>
        <w:kinsoku/>
        <w:wordWrap/>
        <w:overflowPunct/>
        <w:topLinePunct w:val="0"/>
        <w:autoSpaceDE/>
        <w:autoSpaceDN/>
        <w:bidi w:val="0"/>
        <w:snapToGrid w:val="0"/>
        <w:spacing w:line="240" w:lineRule="auto"/>
        <w:ind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运营计划组成和编制流程</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领会：运营计划编制的三个阶段。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列车开行计划的编制</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识记：列车交路的不同类型</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领会：断面运力与发车频率、列车编组和满载率的关系</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简单应用：根据给定条件计算确定发车频率和上线车组数</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列车运行图的编制</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识记：列车运行图的要素</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领会：均一发车间隔对运营的好处</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综合应用：根据给定的条件进行列车运行图的编制。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乘务计划的制</w:t>
      </w:r>
      <w:r>
        <w:rPr>
          <w:rFonts w:hint="eastAsia" w:ascii="仿宋_GB2312" w:hAnsi="仿宋_GB2312" w:eastAsia="仿宋_GB2312" w:cs="仿宋_GB2312"/>
          <w:b w:val="0"/>
          <w:bCs w:val="0"/>
          <w:sz w:val="21"/>
          <w:szCs w:val="21"/>
          <w:lang w:eastAsia="zh-CN"/>
        </w:rPr>
        <w:t>定</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识记：乘务片段、分割点、乘务段等乘务相关概念。</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领会：包乘制与轮乘制的异同。</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 特殊线路运营计划的编制特点</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综合应用：环线、含支线路和单线的运行图编制。</w:t>
      </w:r>
    </w:p>
    <w:p>
      <w:pPr>
        <w:keepNext w:val="0"/>
        <w:keepLines w:val="0"/>
        <w:pageBreakBefore w:val="0"/>
        <w:kinsoku/>
        <w:wordWrap/>
        <w:overflowPunct/>
        <w:topLinePunct w:val="0"/>
        <w:autoSpaceDE/>
        <w:autoSpaceDN/>
        <w:bidi w:val="0"/>
        <w:snapToGrid w:val="0"/>
        <w:spacing w:line="240" w:lineRule="auto"/>
        <w:ind w:right="0" w:rightChars="0" w:firstLine="210" w:firstLineChars="1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本章的重点：列车开行计划，列车运行图，乘务计划。</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本章的难点：特殊线路运营计划的编制。</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城市轨道交通系统运输能力理论及计算</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本章在全面阐述城市轨道交通系统能力概念的基础上，系统分析影响城市轨道交通系统能力的因素，介绍城市轨道交通系统各部分能力计算的方法。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本章要求学生建立起城市轨道交通系统运输能力的基本理论框架，了解能力计算的基本方法。</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6.1 城市轨道交通系统运输能力概念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6.2 系统通过能力计算及影响因素分析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6.3 系统输送能力计算及影响因素分析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6.4 城市轨道交通系统能力综合计算举例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城市轨道交通系统运输能力概念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识记：通过能力、输送能力、设计能力、现有能力、需要能力、理论计算能力、查定能力、核定能力的概念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领会：城市轨道交通与铁路交通系统在城市轨道交通运输能力领域的异同</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系统通过能力计算及影响因素分析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识记：使用通过能力的概念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领会：列车运行干扰的内涵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简单应用：根据区间、车站和折返站的最小列车运行间隔时间计算系统通过能力</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综合应用：对区间通过能力、中间站通过能力、折返站通过能力的计算及影响因素分析。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系统输送能力计算及影响因素分析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简单应用：列车编组辆数，车辆定员数的计算。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城市轨道交通系统能力综合计算举例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综合应用：能够根据基础数据对城市轨道交通能力进行综合计算。</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本章的重点：城市轨道交通系统通过能力和输送能力的相应理论和计算方法。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本章的难点：城市轨道交通系统通过能力和输送能力的相应理论和计算方法。</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能力加强技术与运营速度提高模式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本章从系统的观点出发，考察和分析运输生产的各个环节，指出满足乘客出行，提高乘客出行质量是城市轨道交通系统运营的重要目标。并给出了运输能力加强的相关措施和提速运营的相关措施。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2E75B6" w:themeColor="accent1" w:themeShade="BF"/>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本章要求学生在掌握之前章节的能力计算方法和计划编制方法的基础上，进一步深化。</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7.1 运能运量适应性分析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7.2 运输能力加强措施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7.3 城市轨道交通提速运营模式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（一）运能运量适应性分析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简单应用：根据相关资料进行运量适应图的绘制。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运输能力加强措施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识记：影响运输能力加强的因素。</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领会：线路通过能力、列车折返能力和输送能力的加强措施</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城市轨道交通提速运营模式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识记：影响列车运营速度的两方面因素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领会：提速运营模式的不同方式和特点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简单应用：对不同的提速运营模式激励性适用性分析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综合应用：对具体的城市轨道交通线路进行能力加强并设计有针对性的提速运营模式。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本章的重点：运输能力加强措施，提高运营速度的组织模式设计。</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本章的难点：运输能力加强措施。</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城市轨道交通系统运营调度指挥技术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重点阐述轨道交通运营调度指挥的组织模式、组织机构、主要调度设备、调度指挥信息流程等相关内容，分析正常条件和非正常条件下的日常调度指挥技术方法，介绍救援列车与工程车的调度指挥原则与行车组织办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2E75B6" w:themeColor="accent1" w:themeShade="BF"/>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本章要求学生通过对城市轨道交通系统运营调度指挥技术的学习，将前面各个章节的内容进行有机联系。</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8.1 城市轨道交通调度概况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8.2 轨道交通运营的日常调度指挥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城市轨道交通调度概况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识记：城市轨道交通控制中心根据控制范围不同的分类,OCC的工作核心内容，城市轨道交通系统传递的3类信息</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领会：城市轨道交通调度系统发展的三个阶段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轨道交通运营的日常调度指挥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领会：调度工作范围、指挥原则和行车调度控制方式</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简单应用：针对实际情况进行列车运行调整（给出列车运行调整的相应方法）；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综合应用：能够针对调度指挥的具体情况和方法进行评判分析。</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本章的重点：城市轨道交通调度系统，调度指挥的基本理念，调度运营的技术方法和操作过程。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本章的难点：调度运营的技术方法和操作过程。</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列车运行控制技术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本章介绍列车自动控制系统（ATC）的三个子系统（列车自动防护系统、列车自动运行系统和列车自动监控系统）和五个原理功能，并对三个子系统的功能进行了详细介绍。</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本章要求学生了解列车运行控制系统对提高城市轨道交通系统运营管理效率的支撑作用和实现过程。</w:t>
      </w:r>
    </w:p>
    <w:p>
      <w:pPr>
        <w:keepNext w:val="0"/>
        <w:keepLines w:val="0"/>
        <w:pageBreakBefore w:val="0"/>
        <w:kinsoku/>
        <w:wordWrap/>
        <w:overflowPunct/>
        <w:topLinePunct w:val="0"/>
        <w:autoSpaceDE/>
        <w:autoSpaceDN/>
        <w:bidi w:val="0"/>
        <w:snapToGrid w:val="0"/>
        <w:spacing w:line="240" w:lineRule="auto"/>
        <w:ind w:right="0" w:rightChars="0" w:firstLine="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9.1 列车自动控制系统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9.2 列车自动防护系统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9.3 列车自动运行系统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9.4 列车自动监控系统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列车自动控制系统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识记：列车自动防护系统（ATP）、列车自动运行系统（ATO）、列车自动监控系统（ATS）；ATS功能、联锁功能、列车检测功能、ATC功能、PTI（列车识别）功能</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领会：不同控制模式和驾驶模式之间的区别。</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列车自动防护系统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识记：列车自动防护系统的组成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领会：ATP系统的主要功能</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（三） </w:t>
      </w:r>
      <w:bookmarkStart w:id="1" w:name="_Hlk131502644"/>
      <w:r>
        <w:rPr>
          <w:rFonts w:hint="eastAsia" w:ascii="仿宋_GB2312" w:hAnsi="仿宋_GB2312" w:eastAsia="仿宋_GB2312" w:cs="仿宋_GB2312"/>
          <w:b w:val="0"/>
          <w:bCs w:val="0"/>
          <w:sz w:val="21"/>
          <w:szCs w:val="21"/>
        </w:rPr>
        <w:t>列车自动运行系统</w:t>
      </w:r>
      <w:bookmarkEnd w:id="1"/>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识记：列车自动运行系统的组成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领会：ATO系统的主要功能</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简单应用：能够对ATP和ATO系统之间的关系进行分析。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列车自动监控系统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识记：列车自动监控系统过的组成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领会：ATS系统的主要功能</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本章的重点：列车运行控制系统的构成及三个子系统的组成与功能。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本章的难点：三大子系统的主要功能。</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车站管理与客流组织技术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本章在对车站管理工作进行简单概述的基础上，介绍车站综合监控系统和导向标志系统等与车站客流组织工作紧密相关的主要设备设施，进而重点阐述在不同情况下的车站客流组织措施与技术。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本章要求考生建立起城市轨道交通系统车站管理和客流组织的基本理论框架，了解车站管理和客流组织的基本内容。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10.1 车站管理的基本内容及组织模式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10.2 车站综合监控系统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10.3 车站导向标志系统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10.4 车站日常客流组织工作</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10.5 大客流组织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10.6 突发事件客流组织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车站管理的基本内容及组织模式</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识记：车站管理包括的行车组织、客流组织、安全管理、设施设备管理、服务管理和票务管理等概念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车站综合监控系统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识记：车站综合监控系统的构成。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车站导向标志系统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识记：车站导向标志的分类</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简单应用：导向标志的设计原则</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车站日常客流组织工作</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领会：进行客流组织时应该遵循的基本原则，进行客流组织的主要环节</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综合应用：根据要求对站台或站厅进行客流流线设计和标志方案，并能够在设计中阐述自己的理念、观点和设计原则。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 大客流组织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识记：大客流的概念及类别，大客流的控制原则</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领会：大客流的组织措施及预案</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综合应用：针对实际的大客流情况，提出客流组织的具体方案。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 突发事件客流组织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识记：疏散、清客、隔离的概念和内涵。</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本章的重点：车站管理的基本内容、导向标志系统的设计以及不同情况下客流组织方法。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本章的难点：大客流组织方法。</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城市轨道交通系统网络化运营组织技术</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2E75B6" w:themeColor="accent1" w:themeShade="BF"/>
          <w:sz w:val="21"/>
          <w:szCs w:val="21"/>
        </w:rPr>
      </w:pPr>
      <w:r>
        <w:rPr>
          <w:rFonts w:hint="eastAsia" w:ascii="仿宋_GB2312" w:hAnsi="仿宋_GB2312" w:eastAsia="仿宋_GB2312" w:cs="仿宋_GB2312"/>
          <w:b w:val="0"/>
          <w:bCs w:val="0"/>
          <w:sz w:val="21"/>
          <w:szCs w:val="21"/>
        </w:rPr>
        <w:t>本章在介绍换乘相关概念的基础上，分析网络化运营下的客流指标和线路几何特征，进而探讨过轨运输组织方法以及独立运营和联合运营的适应条件。</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本章要求考生在学习时注意与之前的知识点进行比较，发现其中的异同。</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11.1 换乘概述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11.2 换乘方向数和换乘时间</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11.3 网络化运营下的客流指标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11.4 线路几何形状分析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11.5 共线运营</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换乘概述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识记：换乘的概念。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换乘方向数和换乘时间</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识记：换乘时间、换乘距离的定义</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领会：不同发车间隔线路间换乘的等待时间对比</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简单应用：对给定的多条线路交汇站的换乘方向数进行计算，对定时换乘系统的效果进行分析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网络化运营下的客流指标</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领会：客流统计指标的概念和计算方法</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简单应用：换乘系数的计算。</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线路几何形状分析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简单应用：不同几何线形在运营上的优势。</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 共线运营</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综合应用：针对实际的共线运营情况分析应该考虑的兼容性问题</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09" w:firstLineChars="195"/>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rPr>
        <w:t>本章的重点：换乘方向数的计算，换乘时间的组成，网络化运营下的客流指标计算，线路几何线形与客流特征之间的关系，共线运营的概念</w:t>
      </w:r>
      <w:r>
        <w:rPr>
          <w:rFonts w:hint="eastAsia" w:ascii="仿宋_GB2312" w:hAnsi="仿宋_GB2312" w:eastAsia="仿宋_GB2312" w:cs="仿宋_GB2312"/>
          <w:b w:val="0"/>
          <w:bCs w:val="0"/>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本章的难点：网络化运营下的客流指标计算。</w:t>
      </w:r>
    </w:p>
    <w:p>
      <w:pPr>
        <w:keepNext w:val="0"/>
        <w:keepLines w:val="0"/>
        <w:pageBreakBefore w:val="0"/>
        <w:kinsoku/>
        <w:wordWrap/>
        <w:overflowPunct/>
        <w:topLinePunct w:val="0"/>
        <w:autoSpaceDE/>
        <w:autoSpaceDN/>
        <w:bidi w:val="0"/>
        <w:snapToGrid w:val="0"/>
        <w:spacing w:line="240" w:lineRule="auto"/>
        <w:ind w:right="0" w:rightChars="0" w:firstLine="200"/>
        <w:rPr>
          <w:rFonts w:hint="eastAsia" w:ascii="仿宋_GB2312" w:hAnsi="仿宋_GB2312" w:eastAsia="仿宋_GB2312" w:cs="仿宋_GB2312"/>
          <w:b w:val="0"/>
          <w:bCs w:val="0"/>
          <w:sz w:val="21"/>
          <w:szCs w:val="21"/>
        </w:rPr>
      </w:pPr>
    </w:p>
    <w:p>
      <w:pPr>
        <w:keepNext w:val="0"/>
        <w:keepLines w:val="0"/>
        <w:pageBreakBefore w:val="0"/>
        <w:numPr>
          <w:ilvl w:val="0"/>
          <w:numId w:val="1"/>
        </w:numPr>
        <w:kinsoku/>
        <w:wordWrap/>
        <w:overflowPunct/>
        <w:topLinePunct w:val="0"/>
        <w:autoSpaceDE/>
        <w:autoSpaceDN/>
        <w:bidi w:val="0"/>
        <w:snapToGrid w:val="0"/>
        <w:spacing w:line="240" w:lineRule="auto"/>
        <w:ind w:right="0" w:rightChars="0" w:firstLine="20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城市轨道交通票务管理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本章从票制票价、票务管理以及票务清分三个方面介绍城市轨道交通系统的票务管理工作。</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本章要求学生建立起城市轨道交通系统运营票务管理的基本理论框架，了解票务管理的基本内容。</w:t>
      </w:r>
    </w:p>
    <w:p>
      <w:pPr>
        <w:keepNext w:val="0"/>
        <w:keepLines w:val="0"/>
        <w:pageBreakBefore w:val="0"/>
        <w:kinsoku/>
        <w:wordWrap/>
        <w:overflowPunct/>
        <w:topLinePunct w:val="0"/>
        <w:autoSpaceDE/>
        <w:autoSpaceDN/>
        <w:bidi w:val="0"/>
        <w:snapToGrid w:val="0"/>
        <w:spacing w:line="240" w:lineRule="auto"/>
        <w:ind w:right="0" w:rightChars="0" w:firstLine="409" w:firstLineChars="195"/>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12.1 票制、票价和票种</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12.2 票价的制定</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12.3 城市轨道交通票务系统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12.4 票务清分理论与方法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三、考核知识点与考核要求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 票制、票价和票种</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识记：票制和票价的概念</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领会：不同票制之间的异同</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 票价的制定</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领会：定价原则，三种票价制定的模型</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简单应用：根据基础数据进行票价的制定</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 城市轨道交通票务系统</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识记：城市轨道交通票务系统的构成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 票务清分理论与方法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综合应用：根据基础数据按要求对城市轨道交通系统的票款进行清分</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本章的重点：不同票制的适用范围、票价的制定、票务系统的基本结构框架以及票务清分的相应方法。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本章的难点：票务清分的相应方法。</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snapToGrid w:val="0"/>
        <w:spacing w:line="240" w:lineRule="auto"/>
        <w:ind w:right="0" w:rightChars="0" w:firstLine="422" w:firstLineChars="20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val="0"/>
        <w:snapToGrid w:val="0"/>
        <w:spacing w:line="240" w:lineRule="auto"/>
        <w:ind w:right="0" w:rightChars="0" w:firstLine="420" w:firstLineChars="200"/>
        <w:textAlignment w:val="baseline"/>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3"/>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keepNext w:val="0"/>
        <w:keepLines w:val="0"/>
        <w:pageBreakBefore w:val="0"/>
        <w:numPr>
          <w:ilvl w:val="0"/>
          <w:numId w:val="2"/>
        </w:numPr>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bookmarkStart w:id="2" w:name="_GoBack"/>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《城市轨道交通运营管理》，张星臣主编，高等教育出版社，2017年版</w:t>
      </w:r>
      <w:bookmarkEnd w:id="2"/>
      <w:r>
        <w:rPr>
          <w:rFonts w:hint="eastAsia" w:ascii="仿宋_GB2312" w:hAnsi="仿宋_GB2312" w:eastAsia="仿宋_GB2312" w:cs="仿宋_GB2312"/>
          <w:b w:val="0"/>
          <w:bCs w:val="0"/>
          <w:color w:val="000000" w:themeColor="text1"/>
          <w:sz w:val="21"/>
          <w:szCs w:val="21"/>
          <w14:textFill>
            <w14:solidFill>
              <w14:schemeClr w14:val="tx1"/>
            </w14:solidFill>
          </w14:textFill>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本教材</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第一章的第</w:t>
      </w:r>
      <w:r>
        <w:rPr>
          <w:rFonts w:hint="eastAsia" w:ascii="仿宋_GB2312" w:hAnsi="仿宋_GB2312" w:eastAsia="仿宋_GB2312" w:cs="仿宋_GB2312"/>
          <w:b w:val="0"/>
          <w:bCs w:val="0"/>
          <w:color w:val="000000" w:themeColor="text1"/>
          <w:sz w:val="21"/>
          <w:szCs w:val="21"/>
          <w:lang w:val="en-US" w:eastAsia="zh-CN"/>
          <w14:textFill>
            <w14:solidFill>
              <w14:schemeClr w14:val="tx1"/>
            </w14:solidFill>
          </w14:textFill>
        </w:rPr>
        <w:t>1节、第3节，</w:t>
      </w:r>
      <w:r>
        <w:rPr>
          <w:rFonts w:hint="eastAsia" w:ascii="仿宋_GB2312" w:hAnsi="仿宋_GB2312" w:eastAsia="仿宋_GB2312" w:cs="仿宋_GB2312"/>
          <w:b w:val="0"/>
          <w:bCs w:val="0"/>
          <w:color w:val="000000" w:themeColor="text1"/>
          <w:sz w:val="21"/>
          <w:szCs w:val="21"/>
          <w14:textFill>
            <w14:solidFill>
              <w14:schemeClr w14:val="tx1"/>
            </w14:solidFill>
          </w14:textFill>
        </w:rPr>
        <w:t>第</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八</w:t>
      </w:r>
      <w:r>
        <w:rPr>
          <w:rFonts w:hint="eastAsia" w:ascii="仿宋_GB2312" w:hAnsi="仿宋_GB2312" w:eastAsia="仿宋_GB2312" w:cs="仿宋_GB2312"/>
          <w:b w:val="0"/>
          <w:bCs w:val="0"/>
          <w:color w:val="000000" w:themeColor="text1"/>
          <w:sz w:val="21"/>
          <w:szCs w:val="21"/>
          <w14:textFill>
            <w14:solidFill>
              <w14:schemeClr w14:val="tx1"/>
            </w14:solidFill>
          </w14:textFill>
        </w:rPr>
        <w:t>章的第3节</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第十三章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第十四章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第十五章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w:t>
      </w:r>
      <w:r>
        <w:rPr>
          <w:rFonts w:hint="eastAsia" w:ascii="仿宋_GB2312" w:hAnsi="仿宋_GB2312" w:eastAsia="仿宋_GB2312" w:cs="仿宋_GB2312"/>
          <w:b w:val="0"/>
          <w:bCs w:val="0"/>
          <w:color w:val="000000" w:themeColor="text1"/>
          <w:sz w:val="21"/>
          <w:szCs w:val="21"/>
          <w14:textFill>
            <w14:solidFill>
              <w14:schemeClr w14:val="tx1"/>
            </w14:solidFill>
          </w14:textFill>
        </w:rPr>
        <w:t>第十六章</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内容，</w:t>
      </w:r>
      <w:r>
        <w:rPr>
          <w:rFonts w:hint="eastAsia" w:ascii="仿宋_GB2312" w:hAnsi="仿宋_GB2312" w:eastAsia="仿宋_GB2312" w:cs="仿宋_GB2312"/>
          <w:b w:val="0"/>
          <w:bCs w:val="0"/>
          <w:color w:val="000000" w:themeColor="text1"/>
          <w:sz w:val="21"/>
          <w:szCs w:val="21"/>
          <w14:textFill>
            <w14:solidFill>
              <w14:schemeClr w14:val="tx1"/>
            </w14:solidFill>
          </w14:textFill>
        </w:rPr>
        <w:t>考生可根据个人能力兴趣学习，不纳入考核范围。</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由于成人学习的个性化特点，建议业余自学时间不低于72个学时。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pStyle w:val="6"/>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3．在自学过程中，既要思考问题，也要做好阅读笔记，把教材中的基本概念、原理、方法等加以整理，这可从中加深对问题的认知、理解和记忆，以利于突出重点，并涵盖整个内容，可以不断提高自学能力</w:t>
      </w:r>
      <w:r>
        <w:rPr>
          <w:rFonts w:hint="eastAsia" w:ascii="仿宋_GB2312" w:hAnsi="仿宋_GB2312" w:eastAsia="仿宋_GB2312" w:cs="仿宋_GB2312"/>
          <w:b w:val="0"/>
          <w:bCs w:val="0"/>
          <w:sz w:val="21"/>
          <w:szCs w:val="21"/>
        </w:rPr>
        <w:t>。</w:t>
      </w:r>
    </w:p>
    <w:p>
      <w:pPr>
        <w:pStyle w:val="6"/>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4.在自学时，学习者应注重知识的理解，尽量在理解的基础上对概念、原理、方法进行记忆，特别是将书本知识与实际的运营场景相结合，死记硬背在这门课上的效果并不好。</w:t>
      </w:r>
    </w:p>
    <w:p>
      <w:pPr>
        <w:pStyle w:val="6"/>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本课程是一门综合性较强的课程，既要求学习者具备扎实的理论基础，同时也要求学习者具有灵活的变通能力和实践技能。建议自学应考者在乘坐城市轨道交通工具时多多注意自己能接触到的城市轨道交通的运营管理实际，重视理论联系实际，加深对理论知识的理解，提高针对实际的问题分析和解决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kern w:val="0"/>
          <w:sz w:val="21"/>
          <w:szCs w:val="21"/>
          <w14:textFill>
            <w14:solidFill>
              <w14:schemeClr w14:val="tx1"/>
            </w14:solidFill>
          </w14:textFill>
        </w:rPr>
      </w:pP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4.助学者在辅导时应帮助自学者梳理重点内容和一般内容之间的关系，在他们全面掌握全部考试内容的基础上，帮助他们解读涉及城市轨道交通运营管理的政府宏观政策、资源配置机制以及城市管理者对轨道交通系统的管理体制和模式等因素对城市轨道交通运营的影响。尤其注意在“车”、“客”、“管”三个微观技术角度的理论展开。</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 城市轨道交通运营管理是一门实践性较强的专业课，作为助学者应帮助自学者了解城市轨道交通运营管理课程知识在理论、技术、管理和政策方面的体现，并自觉地把理论知识融入到运营实践之中，深入理解基础理论，提高他们的分析解决问题的能力。</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B0F0"/>
          <w:sz w:val="21"/>
          <w:szCs w:val="21"/>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建议本课程考纲内容学时如下</w:t>
      </w:r>
      <w:r>
        <w:rPr>
          <w:rFonts w:hint="eastAsia" w:ascii="仿宋_GB2312" w:hAnsi="仿宋_GB2312" w:eastAsia="仿宋_GB2312" w:cs="仿宋_GB2312"/>
          <w:b w:val="0"/>
          <w:bCs w:val="0"/>
          <w:color w:val="00B0F0"/>
          <w:sz w:val="21"/>
          <w:szCs w:val="21"/>
        </w:rPr>
        <w:t>：</w:t>
      </w:r>
    </w:p>
    <w:tbl>
      <w:tblPr>
        <w:tblStyle w:val="10"/>
        <w:tblW w:w="79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4310"/>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章次</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学习内容</w:t>
            </w:r>
          </w:p>
        </w:tc>
        <w:tc>
          <w:tcPr>
            <w:tcW w:w="204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绪论</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第2章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城市轨道交通系统技术经济特征</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第3章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列车运行和乘客出行的基本概念</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第4章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客流特</w:t>
            </w:r>
            <w:r>
              <w:rPr>
                <w:rFonts w:hint="eastAsia" w:ascii="仿宋_GB2312" w:hAnsi="仿宋_GB2312" w:eastAsia="仿宋_GB2312" w:cs="仿宋_GB2312"/>
                <w:b w:val="0"/>
                <w:bCs w:val="0"/>
                <w:color w:val="000000" w:themeColor="text1"/>
                <w:sz w:val="21"/>
                <w:szCs w:val="21"/>
                <w:lang w:eastAsia="zh-CN"/>
                <w14:textFill>
                  <w14:solidFill>
                    <w14:schemeClr w14:val="tx1"/>
                  </w14:solidFill>
                </w14:textFill>
              </w:rPr>
              <w:t>性</w:t>
            </w:r>
            <w:r>
              <w:rPr>
                <w:rFonts w:hint="eastAsia" w:ascii="仿宋_GB2312" w:hAnsi="仿宋_GB2312" w:eastAsia="仿宋_GB2312" w:cs="仿宋_GB2312"/>
                <w:b w:val="0"/>
                <w:bCs w:val="0"/>
                <w:color w:val="000000" w:themeColor="text1"/>
                <w:sz w:val="21"/>
                <w:szCs w:val="21"/>
                <w14:textFill>
                  <w14:solidFill>
                    <w14:schemeClr w14:val="tx1"/>
                  </w14:solidFill>
                </w14:textFill>
              </w:rPr>
              <w:t>分析和服务设计原理</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第5章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运营计划编制技术</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第6章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城市轨道交通系统运输能力理论及计算</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第7章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能力加强技术与运营速度提高模式</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第8章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城市轨道交通系统运营调度指挥技术</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第9章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列车运行控制技术</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第10章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车站管理与客流组织技术</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第11章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城市轨道交通系统网络化运营组织技术</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4"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第12章</w:t>
            </w:r>
          </w:p>
        </w:tc>
        <w:tc>
          <w:tcPr>
            <w:tcW w:w="4310"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城市轨道交通票务管理</w:t>
            </w:r>
          </w:p>
        </w:tc>
        <w:tc>
          <w:tcPr>
            <w:tcW w:w="2048"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r>
    </w:tbl>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keepNext w:val="0"/>
        <w:keepLines w:val="0"/>
        <w:pageBreakBefore w:val="0"/>
        <w:widowControl w:val="0"/>
        <w:numPr>
          <w:ilvl w:val="0"/>
          <w:numId w:val="0"/>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。考试时只允许携带笔、橡皮、尺和</w:t>
      </w:r>
      <w:r>
        <w:rPr>
          <w:rFonts w:hint="eastAsia" w:ascii="仿宋_GB2312" w:hAnsi="仿宋_GB2312" w:eastAsia="仿宋_GB2312" w:cs="仿宋_GB2312"/>
          <w:b w:val="0"/>
          <w:bCs w:val="0"/>
          <w:color w:val="000000" w:themeColor="text1"/>
          <w:sz w:val="21"/>
          <w:szCs w:val="21"/>
          <w14:textFill>
            <w14:solidFill>
              <w14:schemeClr w14:val="tx1"/>
            </w14:solidFill>
          </w14:textFill>
        </w:rPr>
        <w:t>无记忆存储功能以及无通讯功能的计算器</w:t>
      </w:r>
      <w:r>
        <w:rPr>
          <w:rFonts w:hint="eastAsia" w:ascii="仿宋_GB2312" w:hAnsi="仿宋_GB2312" w:eastAsia="仿宋_GB2312" w:cs="仿宋_GB2312"/>
          <w:b w:val="0"/>
          <w:bCs w:val="0"/>
          <w:color w:val="FF0000"/>
          <w:sz w:val="21"/>
          <w:szCs w:val="21"/>
        </w:rPr>
        <w:t>。</w:t>
      </w:r>
      <w:r>
        <w:rPr>
          <w:rFonts w:hint="eastAsia" w:ascii="仿宋_GB2312" w:hAnsi="仿宋_GB2312" w:eastAsia="仿宋_GB2312" w:cs="仿宋_GB2312"/>
          <w:b w:val="0"/>
          <w:bCs w:val="0"/>
          <w:sz w:val="21"/>
          <w:szCs w:val="21"/>
        </w:rPr>
        <w:t>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4.本课程在试卷中对不同能力层次要求的分数比例大致为：识记占20%，领会占30%，简单应用占30%，综合应用占20%。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 xml:space="preserve">附录 </w:t>
      </w:r>
      <w:r>
        <w:rPr>
          <w:rFonts w:hint="eastAsia" w:ascii="仿宋_GB2312" w:hAnsi="仿宋_GB2312" w:eastAsia="仿宋_GB2312" w:cs="仿宋_GB2312"/>
          <w:b/>
          <w:bCs/>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一、单项选择题（在每小题后的4个备选项中只有一个是符合题目要求的，请将其选出并填写在题后的括号内）</w:t>
      </w:r>
    </w:p>
    <w:p>
      <w:pPr>
        <w:keepNext w:val="0"/>
        <w:keepLines w:val="0"/>
        <w:pageBreakBefore w:val="0"/>
        <w:numPr>
          <w:ilvl w:val="0"/>
          <w:numId w:val="3"/>
        </w:numPr>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以下哪个系统不包含在ATC的3大子系统之中（  ）</w:t>
      </w:r>
    </w:p>
    <w:p>
      <w:pPr>
        <w:keepNext w:val="0"/>
        <w:keepLines w:val="0"/>
        <w:pageBreakBefore w:val="0"/>
        <w:kinsoku/>
        <w:wordWrap/>
        <w:overflowPunct/>
        <w:topLinePunct w:val="0"/>
        <w:autoSpaceDE/>
        <w:autoSpaceDN/>
        <w:bidi w:val="0"/>
        <w:snapToGrid w:val="0"/>
        <w:spacing w:line="240" w:lineRule="auto"/>
        <w:ind w:left="48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A.ATS    B.ATO    C.ATP    D.ATM</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二、简答题</w:t>
      </w:r>
    </w:p>
    <w:p>
      <w:pPr>
        <w:keepNext w:val="0"/>
        <w:keepLines w:val="0"/>
        <w:pageBreakBefore w:val="0"/>
        <w:kinsoku/>
        <w:wordWrap/>
        <w:overflowPunct/>
        <w:topLinePunct w:val="0"/>
        <w:autoSpaceDE/>
        <w:autoSpaceDN/>
        <w:bidi w:val="0"/>
        <w:snapToGrid w:val="0"/>
        <w:spacing w:line="240" w:lineRule="auto"/>
        <w:ind w:left="440"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1.请简述三级客流控制的具体控制地点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三、计算题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1.已知某城市轨道线路上行方向在沿线各站的上下车人数如下表所示，试计算该线路该方向的乘客交换系数。</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775"/>
        <w:gridCol w:w="775"/>
        <w:gridCol w:w="775"/>
        <w:gridCol w:w="775"/>
        <w:gridCol w:w="774"/>
        <w:gridCol w:w="774"/>
        <w:gridCol w:w="774"/>
        <w:gridCol w:w="774"/>
        <w:gridCol w:w="775"/>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6</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7</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9</w:t>
            </w:r>
          </w:p>
        </w:tc>
        <w:tc>
          <w:tcPr>
            <w:tcW w:w="79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上车</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100</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200</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150</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240</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100</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130</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150</w:t>
            </w:r>
          </w:p>
        </w:tc>
        <w:tc>
          <w:tcPr>
            <w:tcW w:w="77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160</w:t>
            </w:r>
          </w:p>
        </w:tc>
        <w:tc>
          <w:tcPr>
            <w:tcW w:w="775"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80</w:t>
            </w:r>
          </w:p>
        </w:tc>
        <w:tc>
          <w:tcPr>
            <w:tcW w:w="793"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8" w:type="dxa"/>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下车</w:t>
            </w:r>
          </w:p>
        </w:tc>
        <w:tc>
          <w:tcPr>
            <w:tcW w:w="775"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0</w:t>
            </w:r>
          </w:p>
        </w:tc>
        <w:tc>
          <w:tcPr>
            <w:tcW w:w="775"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10</w:t>
            </w:r>
          </w:p>
        </w:tc>
        <w:tc>
          <w:tcPr>
            <w:tcW w:w="775"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50</w:t>
            </w:r>
          </w:p>
        </w:tc>
        <w:tc>
          <w:tcPr>
            <w:tcW w:w="775"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40</w:t>
            </w:r>
          </w:p>
        </w:tc>
        <w:tc>
          <w:tcPr>
            <w:tcW w:w="774"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150</w:t>
            </w:r>
          </w:p>
        </w:tc>
        <w:tc>
          <w:tcPr>
            <w:tcW w:w="774"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200</w:t>
            </w:r>
          </w:p>
        </w:tc>
        <w:tc>
          <w:tcPr>
            <w:tcW w:w="774"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300</w:t>
            </w:r>
          </w:p>
        </w:tc>
        <w:tc>
          <w:tcPr>
            <w:tcW w:w="774"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280</w:t>
            </w:r>
          </w:p>
        </w:tc>
        <w:tc>
          <w:tcPr>
            <w:tcW w:w="775"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140</w:t>
            </w:r>
          </w:p>
        </w:tc>
        <w:tc>
          <w:tcPr>
            <w:tcW w:w="793" w:type="dxa"/>
            <w:tcBorders>
              <w:top w:val="nil"/>
              <w:left w:val="nil"/>
              <w:bottom w:val="single" w:color="auto" w:sz="8" w:space="0"/>
              <w:right w:val="single" w:color="auto" w:sz="8" w:space="0"/>
            </w:tcBorders>
            <w:shd w:val="clear" w:color="auto" w:fill="auto"/>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140</w:t>
            </w:r>
          </w:p>
        </w:tc>
      </w:tr>
    </w:tbl>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四、论述题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1.城市轨道交通单一运营线路和共线运营线路各有哪些优缺点？适合在什么样的客流条件下使用？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五、案例分析题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1.某线路的运行图如下图所示，据此试分析该线路采用的停站模式，并画出该线路的列车交路示意图。</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rPr>
        <w:object>
          <v:shape id="_x0000_i1025" o:spt="75" type="#_x0000_t75" style="height:400.5pt;width:414pt;" o:ole="t" filled="f" o:preferrelative="t" stroked="f" coordsize="21600,21600">
            <v:path/>
            <v:fill on="f" focussize="0,0"/>
            <v:stroke on="f" joinstyle="miter"/>
            <v:imagedata r:id="rId5" o:title=""/>
            <o:lock v:ext="edit" aspectratio="t"/>
            <w10:wrap type="none"/>
            <w10:anchorlock/>
          </v:shape>
          <o:OLEObject Type="Embed" ProgID="Visio.Drawing.15" ShapeID="_x0000_i1025" DrawAspect="Content" ObjectID="_1468075725" r:id="rId4">
            <o:LockedField>false</o:LockedField>
          </o:OLEObject>
        </w:objec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F4D3F2"/>
    <w:multiLevelType w:val="singleLevel"/>
    <w:tmpl w:val="88F4D3F2"/>
    <w:lvl w:ilvl="0" w:tentative="0">
      <w:start w:val="3"/>
      <w:numFmt w:val="chineseCounting"/>
      <w:suff w:val="nothing"/>
      <w:lvlText w:val="%1、"/>
      <w:lvlJc w:val="left"/>
      <w:pPr>
        <w:ind w:left="440" w:firstLine="0"/>
      </w:pPr>
      <w:rPr>
        <w:rFonts w:hint="eastAsia"/>
      </w:rPr>
    </w:lvl>
  </w:abstractNum>
  <w:abstractNum w:abstractNumId="1">
    <w:nsid w:val="39544149"/>
    <w:multiLevelType w:val="singleLevel"/>
    <w:tmpl w:val="39544149"/>
    <w:lvl w:ilvl="0" w:tentative="0">
      <w:start w:val="1"/>
      <w:numFmt w:val="chineseCounting"/>
      <w:suff w:val="space"/>
      <w:lvlText w:val="第%1章"/>
      <w:lvlJc w:val="left"/>
      <w:rPr>
        <w:rFonts w:hint="eastAsia"/>
      </w:rPr>
    </w:lvl>
  </w:abstractNum>
  <w:abstractNum w:abstractNumId="2">
    <w:nsid w:val="4C7556F9"/>
    <w:multiLevelType w:val="singleLevel"/>
    <w:tmpl w:val="4C7556F9"/>
    <w:lvl w:ilvl="0" w:tentative="0">
      <w:start w:val="1"/>
      <w:numFmt w:val="decimal"/>
      <w:lvlText w:val="%1."/>
      <w:lvlJc w:val="left"/>
      <w:pPr>
        <w:tabs>
          <w:tab w:val="left" w:pos="312"/>
        </w:tabs>
      </w:pPr>
      <w:rPr>
        <w:rFonts w:hint="default"/>
        <w:color w:val="auto"/>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Y2MjE4NTMzMDI4MzZjNDk4ZDY5NWE0MmU5ZTYyZDEifQ=="/>
  </w:docVars>
  <w:rsids>
    <w:rsidRoot w:val="00EA29FB"/>
    <w:rsid w:val="00007E46"/>
    <w:rsid w:val="00012552"/>
    <w:rsid w:val="000157D6"/>
    <w:rsid w:val="00026D05"/>
    <w:rsid w:val="000333E1"/>
    <w:rsid w:val="0004542F"/>
    <w:rsid w:val="000C4246"/>
    <w:rsid w:val="000C78B4"/>
    <w:rsid w:val="000D7295"/>
    <w:rsid w:val="000E035A"/>
    <w:rsid w:val="00104061"/>
    <w:rsid w:val="00114B6F"/>
    <w:rsid w:val="00131E17"/>
    <w:rsid w:val="00151A90"/>
    <w:rsid w:val="00152A4A"/>
    <w:rsid w:val="00161F73"/>
    <w:rsid w:val="001B6586"/>
    <w:rsid w:val="001C5160"/>
    <w:rsid w:val="001F07D2"/>
    <w:rsid w:val="002039B9"/>
    <w:rsid w:val="002118D0"/>
    <w:rsid w:val="00224342"/>
    <w:rsid w:val="00224DA3"/>
    <w:rsid w:val="00245630"/>
    <w:rsid w:val="00267855"/>
    <w:rsid w:val="002959F9"/>
    <w:rsid w:val="002A3EA4"/>
    <w:rsid w:val="002A5564"/>
    <w:rsid w:val="002F0A02"/>
    <w:rsid w:val="00334F10"/>
    <w:rsid w:val="00335583"/>
    <w:rsid w:val="0034177B"/>
    <w:rsid w:val="003444C2"/>
    <w:rsid w:val="00344E82"/>
    <w:rsid w:val="0035181D"/>
    <w:rsid w:val="00352D8F"/>
    <w:rsid w:val="0035779E"/>
    <w:rsid w:val="0036286A"/>
    <w:rsid w:val="0037081D"/>
    <w:rsid w:val="00384BF1"/>
    <w:rsid w:val="003D6B4F"/>
    <w:rsid w:val="003F718F"/>
    <w:rsid w:val="0047271E"/>
    <w:rsid w:val="004A20EA"/>
    <w:rsid w:val="004E01E2"/>
    <w:rsid w:val="004E2A95"/>
    <w:rsid w:val="004E641C"/>
    <w:rsid w:val="00535F7E"/>
    <w:rsid w:val="005513A1"/>
    <w:rsid w:val="005665F2"/>
    <w:rsid w:val="00597FF3"/>
    <w:rsid w:val="005A24B1"/>
    <w:rsid w:val="005B2C07"/>
    <w:rsid w:val="005D1194"/>
    <w:rsid w:val="006040BB"/>
    <w:rsid w:val="00620B5E"/>
    <w:rsid w:val="0066319F"/>
    <w:rsid w:val="00692E30"/>
    <w:rsid w:val="006967BC"/>
    <w:rsid w:val="006C027F"/>
    <w:rsid w:val="006C19B6"/>
    <w:rsid w:val="006D086A"/>
    <w:rsid w:val="006E464D"/>
    <w:rsid w:val="007003FC"/>
    <w:rsid w:val="00707224"/>
    <w:rsid w:val="00710579"/>
    <w:rsid w:val="00714F70"/>
    <w:rsid w:val="00723511"/>
    <w:rsid w:val="00735AAD"/>
    <w:rsid w:val="00741162"/>
    <w:rsid w:val="00771848"/>
    <w:rsid w:val="00793D4F"/>
    <w:rsid w:val="007960F2"/>
    <w:rsid w:val="00797323"/>
    <w:rsid w:val="007B2E0D"/>
    <w:rsid w:val="007B5978"/>
    <w:rsid w:val="007E3934"/>
    <w:rsid w:val="007F7A6A"/>
    <w:rsid w:val="0080502A"/>
    <w:rsid w:val="0082593D"/>
    <w:rsid w:val="008A11DB"/>
    <w:rsid w:val="008A16E3"/>
    <w:rsid w:val="008A3608"/>
    <w:rsid w:val="00901DA2"/>
    <w:rsid w:val="009575C4"/>
    <w:rsid w:val="00961737"/>
    <w:rsid w:val="00963DA3"/>
    <w:rsid w:val="009821E3"/>
    <w:rsid w:val="009827BA"/>
    <w:rsid w:val="0099370F"/>
    <w:rsid w:val="009D24B0"/>
    <w:rsid w:val="009E15C2"/>
    <w:rsid w:val="009E2134"/>
    <w:rsid w:val="00A12ECC"/>
    <w:rsid w:val="00A14469"/>
    <w:rsid w:val="00A83A80"/>
    <w:rsid w:val="00AA264D"/>
    <w:rsid w:val="00AC0D11"/>
    <w:rsid w:val="00AC5DD5"/>
    <w:rsid w:val="00AD678A"/>
    <w:rsid w:val="00AD7FD0"/>
    <w:rsid w:val="00B26C78"/>
    <w:rsid w:val="00B35F60"/>
    <w:rsid w:val="00B43105"/>
    <w:rsid w:val="00B70882"/>
    <w:rsid w:val="00B7662E"/>
    <w:rsid w:val="00B90CD2"/>
    <w:rsid w:val="00BA42D2"/>
    <w:rsid w:val="00BB6965"/>
    <w:rsid w:val="00BC1745"/>
    <w:rsid w:val="00BC202A"/>
    <w:rsid w:val="00BD0A33"/>
    <w:rsid w:val="00BD79AA"/>
    <w:rsid w:val="00BF5766"/>
    <w:rsid w:val="00C1665A"/>
    <w:rsid w:val="00C21FCC"/>
    <w:rsid w:val="00C27504"/>
    <w:rsid w:val="00C40D90"/>
    <w:rsid w:val="00C4411F"/>
    <w:rsid w:val="00C75E61"/>
    <w:rsid w:val="00C927A6"/>
    <w:rsid w:val="00CA0568"/>
    <w:rsid w:val="00CC313E"/>
    <w:rsid w:val="00CF38AF"/>
    <w:rsid w:val="00D46E73"/>
    <w:rsid w:val="00D8578E"/>
    <w:rsid w:val="00DB6027"/>
    <w:rsid w:val="00DC1FD3"/>
    <w:rsid w:val="00DF368B"/>
    <w:rsid w:val="00E034E1"/>
    <w:rsid w:val="00E135C7"/>
    <w:rsid w:val="00E21B89"/>
    <w:rsid w:val="00E25236"/>
    <w:rsid w:val="00E2646C"/>
    <w:rsid w:val="00E43BE5"/>
    <w:rsid w:val="00E54998"/>
    <w:rsid w:val="00EA29FB"/>
    <w:rsid w:val="00EC0F0E"/>
    <w:rsid w:val="00F40A59"/>
    <w:rsid w:val="00F72E15"/>
    <w:rsid w:val="00FD0F4B"/>
    <w:rsid w:val="00FE2CC0"/>
    <w:rsid w:val="00FF4382"/>
    <w:rsid w:val="01E46B69"/>
    <w:rsid w:val="03577DA5"/>
    <w:rsid w:val="03675EC4"/>
    <w:rsid w:val="049802FF"/>
    <w:rsid w:val="059A2B57"/>
    <w:rsid w:val="06712BB6"/>
    <w:rsid w:val="0884385E"/>
    <w:rsid w:val="0B204BAA"/>
    <w:rsid w:val="0B882E7B"/>
    <w:rsid w:val="0F957915"/>
    <w:rsid w:val="0FCD5301"/>
    <w:rsid w:val="116F4196"/>
    <w:rsid w:val="1170719A"/>
    <w:rsid w:val="1448333C"/>
    <w:rsid w:val="19876DE5"/>
    <w:rsid w:val="1A4268EB"/>
    <w:rsid w:val="1B2E6E70"/>
    <w:rsid w:val="1D7E5E8C"/>
    <w:rsid w:val="1DF27B5F"/>
    <w:rsid w:val="216E7FC6"/>
    <w:rsid w:val="217073F3"/>
    <w:rsid w:val="22E62A2D"/>
    <w:rsid w:val="2419690F"/>
    <w:rsid w:val="26B40B71"/>
    <w:rsid w:val="275A1718"/>
    <w:rsid w:val="290C6955"/>
    <w:rsid w:val="2B6F5509"/>
    <w:rsid w:val="2CD36774"/>
    <w:rsid w:val="2D500771"/>
    <w:rsid w:val="2D756872"/>
    <w:rsid w:val="2DFB52D7"/>
    <w:rsid w:val="2F827A5E"/>
    <w:rsid w:val="31232B7B"/>
    <w:rsid w:val="3159738D"/>
    <w:rsid w:val="337F52D9"/>
    <w:rsid w:val="354A647F"/>
    <w:rsid w:val="35555B77"/>
    <w:rsid w:val="373B432B"/>
    <w:rsid w:val="39BF2767"/>
    <w:rsid w:val="39E5560F"/>
    <w:rsid w:val="3A0B0650"/>
    <w:rsid w:val="3C2A72F9"/>
    <w:rsid w:val="3EEB0A50"/>
    <w:rsid w:val="41C9151C"/>
    <w:rsid w:val="423F4D68"/>
    <w:rsid w:val="43B53622"/>
    <w:rsid w:val="451A5BEB"/>
    <w:rsid w:val="45CE4D82"/>
    <w:rsid w:val="49261002"/>
    <w:rsid w:val="4AC62A9D"/>
    <w:rsid w:val="4ED16DB7"/>
    <w:rsid w:val="508605D9"/>
    <w:rsid w:val="52CD24EF"/>
    <w:rsid w:val="52F12681"/>
    <w:rsid w:val="53EB79CE"/>
    <w:rsid w:val="5607756D"/>
    <w:rsid w:val="57253D43"/>
    <w:rsid w:val="579B14B0"/>
    <w:rsid w:val="581A550C"/>
    <w:rsid w:val="5BCD355F"/>
    <w:rsid w:val="5D4B55EB"/>
    <w:rsid w:val="5F9C5723"/>
    <w:rsid w:val="60B21E1C"/>
    <w:rsid w:val="60F65306"/>
    <w:rsid w:val="64ED21A0"/>
    <w:rsid w:val="69807E63"/>
    <w:rsid w:val="710650F2"/>
    <w:rsid w:val="71C05880"/>
    <w:rsid w:val="71F118FE"/>
    <w:rsid w:val="774F3472"/>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after="120"/>
      <w:ind w:left="420" w:leftChars="200"/>
    </w:p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8">
    <w:name w:val="annotation reference"/>
    <w:basedOn w:val="7"/>
    <w:qFormat/>
    <w:uiPriority w:val="0"/>
    <w:rPr>
      <w:sz w:val="21"/>
      <w:szCs w:val="21"/>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1">
    <w:name w:val="页眉 字符"/>
    <w:basedOn w:val="7"/>
    <w:link w:val="5"/>
    <w:qFormat/>
    <w:uiPriority w:val="0"/>
    <w:rPr>
      <w:rFonts w:ascii="Times New Roman" w:hAnsi="Times New Roman" w:eastAsia="宋体" w:cs="Times New Roman"/>
      <w:kern w:val="2"/>
      <w:sz w:val="18"/>
      <w:szCs w:val="18"/>
    </w:rPr>
  </w:style>
  <w:style w:type="character" w:customStyle="1" w:styleId="12">
    <w:name w:val="页脚 字符"/>
    <w:basedOn w:val="7"/>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10282</Words>
  <Characters>10518</Characters>
  <Lines>82</Lines>
  <Paragraphs>23</Paragraphs>
  <TotalTime>0</TotalTime>
  <ScaleCrop>false</ScaleCrop>
  <LinksUpToDate>false</LinksUpToDate>
  <CharactersWithSpaces>10635</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梁磊</cp:lastModifiedBy>
  <dcterms:modified xsi:type="dcterms:W3CDTF">2023-07-09T03:44:02Z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F434E5BB10A4494F89EDA1AB66854D8D</vt:lpwstr>
  </property>
</Properties>
</file>