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lang w:val="en-US" w:eastAsia="zh-CN"/>
        </w:rPr>
        <w:t>广东省高等教育自学考试</w:t>
      </w:r>
      <w:r>
        <w:rPr>
          <w:rFonts w:hint="eastAsia" w:ascii="仿宋_GB2312" w:hAnsi="仿宋_GB2312" w:eastAsia="仿宋_GB2312" w:cs="仿宋_GB2312"/>
          <w:b/>
          <w:bCs/>
          <w:sz w:val="21"/>
          <w:szCs w:val="21"/>
          <w:lang w:eastAsia="zh-CN"/>
        </w:rPr>
        <w:t>《数字图形界面艺术设计》</w:t>
      </w:r>
      <w:r>
        <w:rPr>
          <w:rFonts w:hint="eastAsia" w:ascii="仿宋_GB2312" w:hAnsi="仿宋_GB2312" w:eastAsia="仿宋_GB2312" w:cs="仿宋_GB2312"/>
          <w:b/>
          <w:bCs/>
          <w:sz w:val="21"/>
          <w:szCs w:val="21"/>
          <w:lang w:val="en-US" w:eastAsia="zh-CN"/>
        </w:rPr>
        <w:t>课程</w:t>
      </w:r>
      <w:r>
        <w:rPr>
          <w:rFonts w:hint="eastAsia" w:ascii="仿宋_GB2312" w:hAnsi="仿宋_GB2312" w:eastAsia="仿宋_GB2312" w:cs="仿宋_GB2312"/>
          <w:b/>
          <w:bCs/>
          <w:sz w:val="21"/>
          <w:szCs w:val="21"/>
        </w:rPr>
        <w:t>考试大纲</w:t>
      </w: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sz w:val="21"/>
          <w:szCs w:val="21"/>
          <w:lang w:eastAsia="zh-CN"/>
        </w:rPr>
      </w:pPr>
      <w:r>
        <w:rPr>
          <w:rFonts w:hint="eastAsia" w:ascii="仿宋_GB2312" w:hAnsi="仿宋_GB2312" w:eastAsia="仿宋_GB2312" w:cs="仿宋_GB2312"/>
          <w:b/>
          <w:bCs/>
          <w:sz w:val="21"/>
          <w:szCs w:val="21"/>
          <w:lang w:eastAsia="zh-CN"/>
        </w:rPr>
        <w:t>（</w:t>
      </w:r>
      <w:r>
        <w:rPr>
          <w:rFonts w:hint="eastAsia" w:ascii="仿宋_GB2312" w:hAnsi="仿宋_GB2312" w:eastAsia="仿宋_GB2312" w:cs="仿宋_GB2312"/>
          <w:b/>
          <w:bCs/>
          <w:sz w:val="21"/>
          <w:szCs w:val="21"/>
          <w:lang w:val="en-US" w:eastAsia="zh-CN"/>
        </w:rPr>
        <w:t>课程代码：11933</w:t>
      </w:r>
      <w:r>
        <w:rPr>
          <w:rFonts w:hint="eastAsia" w:ascii="仿宋_GB2312" w:hAnsi="仿宋_GB2312" w:eastAsia="仿宋_GB2312" w:cs="仿宋_GB2312"/>
          <w:b/>
          <w:bCs/>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b/>
          <w:bCs/>
          <w:sz w:val="21"/>
          <w:szCs w:val="21"/>
          <w:lang w:val="en-US" w:eastAsia="zh-CN"/>
        </w:rPr>
        <w:t>目录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Ⅰ  课程性质与课程目标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Ⅱ  考核目标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Ⅲ  课程内容与考核要求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Ⅳ  关于大纲的说明与考核实施要求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 xml:space="preserve">附录 </w:t>
      </w:r>
      <w:r>
        <w:rPr>
          <w:rFonts w:hint="eastAsia" w:ascii="仿宋_GB2312" w:hAnsi="仿宋_GB2312" w:eastAsia="仿宋_GB2312" w:cs="仿宋_GB2312"/>
          <w:b w:val="0"/>
          <w:bCs w:val="0"/>
          <w:sz w:val="21"/>
          <w:szCs w:val="21"/>
        </w:rPr>
        <w:t>题型举例</w:t>
      </w: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Ⅰ  课程性质与课程目标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一、课程性质和特点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本课程是高等教育自学考试数字媒体艺术设计 (专科)的必修课，是数字媒体艺术设计专业的一门基础理论与实践相结合的课程。这门课程是以数字媒体和图形设计等课程作为基础，聚焦于图形界面的表现和表达。为学生的专业实践课程打下基础。</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设置“数字图形界面艺术设计”课程的主要目的是使考生掌握数字图形艺术设计相关理论，提高解决实际问题的基本能力，为进行设计实践</w:t>
      </w:r>
      <w:r>
        <w:rPr>
          <w:rFonts w:hint="eastAsia" w:ascii="仿宋_GB2312" w:hAnsi="仿宋_GB2312" w:eastAsia="仿宋_GB2312" w:cs="仿宋_GB2312"/>
          <w:b w:val="0"/>
          <w:bCs w:val="0"/>
          <w:sz w:val="21"/>
          <w:szCs w:val="21"/>
          <w:lang w:val="en-US" w:eastAsia="zh-CN"/>
        </w:rPr>
        <w:t>打下</w:t>
      </w:r>
      <w:r>
        <w:rPr>
          <w:rFonts w:hint="eastAsia" w:ascii="仿宋_GB2312" w:hAnsi="仿宋_GB2312" w:eastAsia="仿宋_GB2312" w:cs="仿宋_GB2312"/>
          <w:b w:val="0"/>
          <w:bCs w:val="0"/>
          <w:sz w:val="21"/>
          <w:szCs w:val="21"/>
        </w:rPr>
        <w:t>必要的基础。</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通过本课程的学习，考生应达到以下目标。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 学习数字图形界面艺术设计相关理论。</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 掌握数字图形界面艺术设计相关技能。</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 具备图形界面审美能力和创造能力。</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 能够独立进行图形界面设计和创作。</w:t>
      </w:r>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sz w:val="21"/>
          <w:szCs w:val="21"/>
        </w:rPr>
        <w:t>三、与相关课程的联系与区别</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学习本课程应具备一定的图形设计基础，要求考生已经学习过图形设计和数字艺术设计基础，所以重点放在互联网终端界面的设计上。本课程是数字媒体艺术设计其他课程的基础。</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left="630" w:leftChars="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sz w:val="21"/>
          <w:szCs w:val="21"/>
          <w:lang w:val="en-US" w:eastAsia="zh-CN"/>
        </w:rPr>
        <w:t>四、</w:t>
      </w:r>
      <w:r>
        <w:rPr>
          <w:rFonts w:hint="eastAsia" w:ascii="仿宋_GB2312" w:hAnsi="仿宋_GB2312" w:eastAsia="仿宋_GB2312" w:cs="仿宋_GB2312"/>
          <w:b w:val="0"/>
          <w:bCs w:val="0"/>
          <w:sz w:val="21"/>
          <w:szCs w:val="21"/>
        </w:rPr>
        <w:t xml:space="preserve">课程的重点和难点 </w:t>
      </w:r>
      <w:r>
        <w:rPr>
          <w:rFonts w:hint="eastAsia" w:ascii="仿宋_GB2312" w:hAnsi="仿宋_GB2312" w:eastAsia="仿宋_GB2312" w:cs="仿宋_GB2312"/>
          <w:b w:val="0"/>
          <w:bCs w:val="0"/>
          <w:color w:val="auto"/>
          <w:sz w:val="21"/>
          <w:szCs w:val="21"/>
        </w:rPr>
        <w:t xml:space="preserve">   </w:t>
      </w:r>
    </w:p>
    <w:p>
      <w:pPr>
        <w:keepNext w:val="0"/>
        <w:keepLines w:val="0"/>
        <w:pageBreakBefore w:val="0"/>
        <w:widowControl w:val="0"/>
        <w:kinsoku/>
        <w:wordWrap/>
        <w:overflowPunct/>
        <w:topLinePunct w:val="0"/>
        <w:autoSpaceDE/>
        <w:autoSpaceDN/>
        <w:bidi w:val="0"/>
        <w:snapToGrid w:val="0"/>
        <w:spacing w:line="240" w:lineRule="auto"/>
        <w:ind w:left="150"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本课程的重点内容是第一章、第二章、第三章、第</w:t>
      </w:r>
      <w:r>
        <w:rPr>
          <w:rFonts w:hint="eastAsia" w:ascii="仿宋_GB2312" w:hAnsi="仿宋_GB2312" w:eastAsia="仿宋_GB2312" w:cs="仿宋_GB2312"/>
          <w:b w:val="0"/>
          <w:bCs w:val="0"/>
          <w:color w:val="auto"/>
          <w:sz w:val="21"/>
          <w:szCs w:val="21"/>
          <w:lang w:val="en-US" w:eastAsia="zh-CN"/>
        </w:rPr>
        <w:t>五</w:t>
      </w:r>
      <w:r>
        <w:rPr>
          <w:rFonts w:hint="eastAsia" w:ascii="仿宋_GB2312" w:hAnsi="仿宋_GB2312" w:eastAsia="仿宋_GB2312" w:cs="仿宋_GB2312"/>
          <w:b w:val="0"/>
          <w:bCs w:val="0"/>
          <w:color w:val="auto"/>
          <w:sz w:val="21"/>
          <w:szCs w:val="21"/>
        </w:rPr>
        <w:t>章、第</w:t>
      </w:r>
      <w:r>
        <w:rPr>
          <w:rFonts w:hint="eastAsia" w:ascii="仿宋_GB2312" w:hAnsi="仿宋_GB2312" w:eastAsia="仿宋_GB2312" w:cs="仿宋_GB2312"/>
          <w:b w:val="0"/>
          <w:bCs w:val="0"/>
          <w:color w:val="auto"/>
          <w:sz w:val="21"/>
          <w:szCs w:val="21"/>
          <w:lang w:val="en-US" w:eastAsia="zh-CN"/>
        </w:rPr>
        <w:t>六</w:t>
      </w:r>
      <w:r>
        <w:rPr>
          <w:rFonts w:hint="eastAsia" w:ascii="仿宋_GB2312" w:hAnsi="仿宋_GB2312" w:eastAsia="仿宋_GB2312" w:cs="仿宋_GB2312"/>
          <w:b w:val="0"/>
          <w:bCs w:val="0"/>
          <w:color w:val="auto"/>
          <w:sz w:val="21"/>
          <w:szCs w:val="21"/>
        </w:rPr>
        <w:t>章，难点内容是第</w:t>
      </w:r>
      <w:r>
        <w:rPr>
          <w:rFonts w:hint="eastAsia" w:ascii="仿宋_GB2312" w:hAnsi="仿宋_GB2312" w:eastAsia="仿宋_GB2312" w:cs="仿宋_GB2312"/>
          <w:b w:val="0"/>
          <w:bCs w:val="0"/>
          <w:color w:val="auto"/>
          <w:sz w:val="21"/>
          <w:szCs w:val="21"/>
          <w:lang w:val="en-US" w:eastAsia="zh-CN"/>
        </w:rPr>
        <w:t>五</w:t>
      </w:r>
      <w:r>
        <w:rPr>
          <w:rFonts w:hint="eastAsia" w:ascii="仿宋_GB2312" w:hAnsi="仿宋_GB2312" w:eastAsia="仿宋_GB2312" w:cs="仿宋_GB2312"/>
          <w:b w:val="0"/>
          <w:bCs w:val="0"/>
          <w:color w:val="auto"/>
          <w:sz w:val="21"/>
          <w:szCs w:val="21"/>
        </w:rPr>
        <w:t>章。各章具体的重点和难点在大纲后面均有明确说明。</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Ⅱ  考核目标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本大纲是“数字图形界面艺术设计”课程的个人自学、社会助学和考试命题的依据，本课程的考试范围以本考试大纲所限定的内容为准。</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color w:val="auto"/>
          <w:sz w:val="21"/>
          <w:szCs w:val="21"/>
        </w:rPr>
        <w:t>本大纲在考核目标中，按照识记、领会、应用</w:t>
      </w:r>
      <w:r>
        <w:rPr>
          <w:rFonts w:hint="eastAsia" w:ascii="仿宋_GB2312" w:hAnsi="仿宋_GB2312" w:eastAsia="仿宋_GB2312" w:cs="仿宋_GB2312"/>
          <w:b w:val="0"/>
          <w:bCs w:val="0"/>
          <w:color w:val="auto"/>
          <w:sz w:val="21"/>
          <w:szCs w:val="21"/>
          <w:lang w:val="en-US" w:eastAsia="zh-CN"/>
        </w:rPr>
        <w:t>三</w:t>
      </w:r>
      <w:r>
        <w:rPr>
          <w:rFonts w:hint="eastAsia" w:ascii="仿宋_GB2312" w:hAnsi="仿宋_GB2312" w:eastAsia="仿宋_GB2312" w:cs="仿宋_GB2312"/>
          <w:b w:val="0"/>
          <w:bCs w:val="0"/>
          <w:color w:val="auto"/>
          <w:sz w:val="21"/>
          <w:szCs w:val="21"/>
        </w:rPr>
        <w:t>个层次规定其应达到的能力层次要求。</w:t>
      </w:r>
      <w:r>
        <w:rPr>
          <w:rFonts w:hint="eastAsia" w:ascii="仿宋_GB2312" w:hAnsi="仿宋_GB2312" w:eastAsia="仿宋_GB2312" w:cs="仿宋_GB2312"/>
          <w:b w:val="0"/>
          <w:bCs w:val="0"/>
          <w:color w:val="auto"/>
          <w:sz w:val="21"/>
          <w:szCs w:val="21"/>
          <w:lang w:val="en-US" w:eastAsia="zh-CN"/>
        </w:rPr>
        <w:t>三</w:t>
      </w:r>
      <w:r>
        <w:rPr>
          <w:rFonts w:hint="eastAsia" w:ascii="仿宋_GB2312" w:hAnsi="仿宋_GB2312" w:eastAsia="仿宋_GB2312" w:cs="仿宋_GB2312"/>
          <w:b w:val="0"/>
          <w:bCs w:val="0"/>
          <w:color w:val="auto"/>
          <w:sz w:val="21"/>
          <w:szCs w:val="21"/>
        </w:rPr>
        <w:t>个能力层次是递进关系，各能力层次的含义是：</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识记：要求考生能够识别和记忆“</w:t>
      </w:r>
      <w:r>
        <w:rPr>
          <w:rFonts w:hint="eastAsia" w:ascii="仿宋_GB2312" w:hAnsi="仿宋_GB2312" w:eastAsia="仿宋_GB2312" w:cs="仿宋_GB2312"/>
          <w:b w:val="0"/>
          <w:bCs w:val="0"/>
          <w:sz w:val="21"/>
          <w:szCs w:val="21"/>
        </w:rPr>
        <w:t>数字图形界面艺术设计</w:t>
      </w:r>
      <w:r>
        <w:rPr>
          <w:rFonts w:hint="eastAsia" w:ascii="仿宋_GB2312" w:hAnsi="仿宋_GB2312" w:eastAsia="仿宋_GB2312" w:cs="仿宋_GB2312"/>
          <w:b w:val="0"/>
          <w:bCs w:val="0"/>
          <w:color w:val="auto"/>
          <w:sz w:val="21"/>
          <w:szCs w:val="21"/>
        </w:rPr>
        <w:t>”课程中有关知识点的概念性内容（如教材中给出的界面类型、构图方法、设计原则和规范等），并能够根据考核的不同要求，做出正确的表述、选择和判断。</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领会：要求考生在识记的基础上，能够领悟各知识点的内涵和外延，熟悉各知识点之间的区别与联系，能够根据相关知识点的特性来解决不同的问题；并能够进行简单的分析。</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应用：要求考生运用</w:t>
      </w:r>
      <w:r>
        <w:rPr>
          <w:rFonts w:hint="eastAsia" w:ascii="仿宋_GB2312" w:hAnsi="仿宋_GB2312" w:eastAsia="仿宋_GB2312" w:cs="仿宋_GB2312"/>
          <w:b w:val="0"/>
          <w:bCs w:val="0"/>
          <w:sz w:val="21"/>
          <w:szCs w:val="21"/>
        </w:rPr>
        <w:t>数字图形界面艺术设计</w:t>
      </w:r>
      <w:r>
        <w:rPr>
          <w:rFonts w:hint="eastAsia" w:ascii="仿宋_GB2312" w:hAnsi="仿宋_GB2312" w:eastAsia="仿宋_GB2312" w:cs="仿宋_GB2312"/>
          <w:b w:val="0"/>
          <w:bCs w:val="0"/>
          <w:color w:val="auto"/>
          <w:sz w:val="21"/>
          <w:szCs w:val="21"/>
        </w:rPr>
        <w:t>的知识点，分析和解决一般的应用问题，例如，</w:t>
      </w:r>
      <w:r>
        <w:rPr>
          <w:rFonts w:hint="eastAsia" w:ascii="仿宋_GB2312" w:hAnsi="仿宋_GB2312" w:eastAsia="仿宋_GB2312" w:cs="仿宋_GB2312"/>
          <w:b w:val="0"/>
          <w:bCs w:val="0"/>
          <w:sz w:val="21"/>
          <w:szCs w:val="21"/>
        </w:rPr>
        <w:t>论述一个启动界面的主要设计形式和相关特点</w:t>
      </w:r>
      <w:r>
        <w:rPr>
          <w:rFonts w:hint="eastAsia" w:ascii="仿宋_GB2312" w:hAnsi="仿宋_GB2312" w:eastAsia="仿宋_GB2312" w:cs="仿宋_GB2312"/>
          <w:b w:val="0"/>
          <w:bCs w:val="0"/>
          <w:color w:val="auto"/>
          <w:sz w:val="21"/>
          <w:szCs w:val="21"/>
        </w:rPr>
        <w:t>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sz w:val="21"/>
          <w:szCs w:val="21"/>
        </w:rPr>
        <w:t>Ⅲ  课程内容与考核要求</w:t>
      </w:r>
    </w:p>
    <w:p>
      <w:pPr>
        <w:keepNext w:val="0"/>
        <w:keepLines w:val="0"/>
        <w:pageBreakBefore w:val="0"/>
        <w:widowControl w:val="0"/>
        <w:numPr>
          <w:ilvl w:val="0"/>
          <w:numId w:val="1"/>
        </w:numPr>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 xml:space="preserve">界面类型 </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本章简要介绍主要的几种界面类型等。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本章要求考生自行学习并熟练掌握一种界面类型和设计形式</w:t>
      </w:r>
      <w:r>
        <w:rPr>
          <w:rFonts w:hint="eastAsia" w:ascii="仿宋_GB2312" w:hAnsi="仿宋_GB2312" w:eastAsia="仿宋_GB2312" w:cs="仿宋_GB2312"/>
          <w:b w:val="0"/>
          <w:bCs w:val="0"/>
          <w:color w:val="auto"/>
          <w:sz w:val="21"/>
          <w:szCs w:val="21"/>
          <w:lang w:eastAsia="zh-CN"/>
        </w:rPr>
        <w:t>。</w:t>
      </w:r>
      <w:r>
        <w:rPr>
          <w:rFonts w:hint="eastAsia" w:ascii="仿宋_GB2312" w:hAnsi="仿宋_GB2312" w:eastAsia="仿宋_GB2312" w:cs="仿宋_GB2312"/>
          <w:b w:val="0"/>
          <w:bCs w:val="0"/>
          <w:color w:val="auto"/>
          <w:sz w:val="21"/>
          <w:szCs w:val="21"/>
        </w:rPr>
        <w:t>初步理解界面设计的基础。</w:t>
      </w:r>
    </w:p>
    <w:p>
      <w:pPr>
        <w:keepNext w:val="0"/>
        <w:keepLines w:val="0"/>
        <w:pageBreakBefore w:val="0"/>
        <w:widowControl w:val="0"/>
        <w:numPr>
          <w:ilvl w:val="0"/>
          <w:numId w:val="2"/>
        </w:numPr>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1.1 闪屏页</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1.2 引导页</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1.3 首页</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1.4 列表页</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 xml:space="preserve">（一） 闪屏页 </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color w:val="auto"/>
          <w:sz w:val="21"/>
          <w:szCs w:val="21"/>
        </w:rPr>
        <w:t>识记：闪屏页的作用和典型类型</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color w:val="auto"/>
          <w:sz w:val="21"/>
          <w:szCs w:val="21"/>
        </w:rPr>
        <w:t>（二）引导页</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识记：闪屏页的作用和典型类型。</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color w:val="auto"/>
          <w:sz w:val="21"/>
          <w:szCs w:val="21"/>
        </w:rPr>
        <w:t>（三）首页</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识记：首页的典型类型和作用。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领会：首页典型类型的各自特点和如何区分</w:t>
      </w:r>
    </w:p>
    <w:p>
      <w:pPr>
        <w:keepNext w:val="0"/>
        <w:keepLines w:val="0"/>
        <w:pageBreakBefore w:val="0"/>
        <w:widowControl w:val="0"/>
        <w:kinsoku/>
        <w:wordWrap/>
        <w:overflowPunct/>
        <w:topLinePunct w:val="0"/>
        <w:autoSpaceDE/>
        <w:autoSpaceDN/>
        <w:bidi w:val="0"/>
        <w:snapToGrid w:val="0"/>
        <w:spacing w:line="240" w:lineRule="auto"/>
        <w:ind w:left="239" w:leftChars="114" w:right="0" w:rightChars="0" w:firstLine="210" w:firstLineChars="1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应用：根据需求选择一种首页类型进行布局的设计</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（四）列表页</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识记：列表的典型类型和作用。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领会：列表典型类型的各自特点和如何区分</w:t>
      </w:r>
    </w:p>
    <w:p>
      <w:pPr>
        <w:keepNext w:val="0"/>
        <w:keepLines w:val="0"/>
        <w:pageBreakBefore w:val="0"/>
        <w:widowControl w:val="0"/>
        <w:kinsoku/>
        <w:wordWrap/>
        <w:overflowPunct/>
        <w:topLinePunct w:val="0"/>
        <w:autoSpaceDE/>
        <w:autoSpaceDN/>
        <w:bidi w:val="0"/>
        <w:snapToGrid w:val="0"/>
        <w:spacing w:line="240" w:lineRule="auto"/>
        <w:ind w:left="239" w:leftChars="114" w:right="0" w:rightChars="0" w:firstLine="210" w:firstLineChars="1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应用：根据需求选择一种列表类型进行布局的设计</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sz w:val="21"/>
          <w:szCs w:val="21"/>
        </w:rPr>
        <w:t>本章的重点：首页的典型类型</w:t>
      </w:r>
      <w:r>
        <w:rPr>
          <w:rFonts w:hint="eastAsia" w:ascii="仿宋_GB2312" w:hAnsi="仿宋_GB2312" w:eastAsia="仿宋_GB2312" w:cs="仿宋_GB2312"/>
          <w:b w:val="0"/>
          <w:bCs w:val="0"/>
          <w:color w:val="auto"/>
          <w:sz w:val="21"/>
          <w:szCs w:val="21"/>
        </w:rPr>
        <w:t>及特点</w:t>
      </w:r>
      <w:r>
        <w:rPr>
          <w:rFonts w:hint="eastAsia" w:ascii="仿宋_GB2312" w:hAnsi="仿宋_GB2312" w:eastAsia="仿宋_GB2312" w:cs="仿宋_GB2312"/>
          <w:b w:val="0"/>
          <w:bCs w:val="0"/>
          <w:color w:val="auto"/>
          <w:sz w:val="21"/>
          <w:szCs w:val="21"/>
          <w:lang w:eastAsia="zh-CN"/>
        </w:rPr>
        <w:t>。</w:t>
      </w:r>
      <w:r>
        <w:rPr>
          <w:rFonts w:hint="eastAsia" w:ascii="仿宋_GB2312" w:hAnsi="仿宋_GB2312" w:eastAsia="仿宋_GB2312" w:cs="仿宋_GB2312"/>
          <w:b w:val="0"/>
          <w:bCs w:val="0"/>
          <w:color w:val="auto"/>
          <w:sz w:val="21"/>
          <w:szCs w:val="21"/>
        </w:rPr>
        <w:t xml:space="preserve"> </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sz w:val="21"/>
          <w:szCs w:val="21"/>
        </w:rPr>
        <w:t>本章的难点：根据需求选择不同页面类型的进行界面设计</w:t>
      </w:r>
      <w:r>
        <w:rPr>
          <w:rFonts w:hint="eastAsia" w:ascii="仿宋_GB2312" w:hAnsi="仿宋_GB2312" w:eastAsia="仿宋_GB2312" w:cs="仿宋_GB2312"/>
          <w:b w:val="0"/>
          <w:bCs w:val="0"/>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p>
    <w:p>
      <w:pPr>
        <w:keepNext w:val="0"/>
        <w:keepLines w:val="0"/>
        <w:pageBreakBefore w:val="0"/>
        <w:widowControl w:val="0"/>
        <w:numPr>
          <w:ilvl w:val="0"/>
          <w:numId w:val="1"/>
        </w:numPr>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 xml:space="preserve">界面构图 </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本章简要介绍主要的几种界面构图方式等。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本章要求考生自行学习并熟练掌握一种界面构图方式和设计形式。初步理解界面构图设计的基础</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二、</w:t>
      </w:r>
      <w:r>
        <w:rPr>
          <w:rFonts w:hint="eastAsia" w:ascii="仿宋_GB2312" w:hAnsi="仿宋_GB2312" w:eastAsia="仿宋_GB2312" w:cs="仿宋_GB2312"/>
          <w:b w:val="0"/>
          <w:bCs w:val="0"/>
          <w:sz w:val="21"/>
          <w:szCs w:val="21"/>
        </w:rPr>
        <w:t>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2.1 九宫格构图</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2.2 圆心放射构图</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2.3 三角形构图</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 xml:space="preserve">（一） 九宫格构图 </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color w:val="auto"/>
          <w:sz w:val="21"/>
          <w:szCs w:val="21"/>
        </w:rPr>
        <w:t>识记：九宫格构图的主要作用</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color w:val="auto"/>
          <w:sz w:val="21"/>
          <w:szCs w:val="21"/>
        </w:rPr>
        <w:t>（二）圆心放射构图</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识记：圆心放射构图作用和典型形式</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领会：圆心放射构图的特点和变化形式</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color w:val="auto"/>
          <w:sz w:val="21"/>
          <w:szCs w:val="21"/>
        </w:rPr>
        <w:t>（三）三角形构图</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识记：三角形构图的作用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领会：三角形构图的特点</w:t>
      </w:r>
    </w:p>
    <w:p>
      <w:pPr>
        <w:keepNext w:val="0"/>
        <w:keepLines w:val="0"/>
        <w:pageBreakBefore w:val="0"/>
        <w:widowControl w:val="0"/>
        <w:kinsoku/>
        <w:wordWrap/>
        <w:overflowPunct/>
        <w:topLinePunct w:val="0"/>
        <w:autoSpaceDE/>
        <w:autoSpaceDN/>
        <w:bidi w:val="0"/>
        <w:snapToGrid w:val="0"/>
        <w:spacing w:line="240" w:lineRule="auto"/>
        <w:ind w:left="239" w:leftChars="114" w:right="0" w:rightChars="0" w:firstLine="210" w:firstLineChars="1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应用：根据需求选择一种三角形构图进行布局的设计</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sz w:val="21"/>
          <w:szCs w:val="21"/>
        </w:rPr>
        <w:t>本章的重点：界面构图的典型类型</w:t>
      </w:r>
      <w:r>
        <w:rPr>
          <w:rFonts w:hint="eastAsia" w:ascii="仿宋_GB2312" w:hAnsi="仿宋_GB2312" w:eastAsia="仿宋_GB2312" w:cs="仿宋_GB2312"/>
          <w:b w:val="0"/>
          <w:bCs w:val="0"/>
          <w:color w:val="auto"/>
          <w:sz w:val="21"/>
          <w:szCs w:val="21"/>
        </w:rPr>
        <w:t>及特点</w:t>
      </w:r>
      <w:r>
        <w:rPr>
          <w:rFonts w:hint="eastAsia" w:ascii="仿宋_GB2312" w:hAnsi="仿宋_GB2312" w:eastAsia="仿宋_GB2312" w:cs="仿宋_GB2312"/>
          <w:b w:val="0"/>
          <w:bCs w:val="0"/>
          <w:color w:val="auto"/>
          <w:sz w:val="21"/>
          <w:szCs w:val="21"/>
          <w:lang w:eastAsia="zh-CN"/>
        </w:rPr>
        <w:t>。</w:t>
      </w:r>
      <w:r>
        <w:rPr>
          <w:rFonts w:hint="eastAsia" w:ascii="仿宋_GB2312" w:hAnsi="仿宋_GB2312" w:eastAsia="仿宋_GB2312" w:cs="仿宋_GB2312"/>
          <w:b w:val="0"/>
          <w:bCs w:val="0"/>
          <w:color w:val="auto"/>
          <w:sz w:val="21"/>
          <w:szCs w:val="21"/>
        </w:rPr>
        <w:t xml:space="preserve"> </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本章的难点：根据需求选择不同界面构图进行界面设计</w:t>
      </w:r>
      <w:r>
        <w:rPr>
          <w:rFonts w:hint="eastAsia" w:ascii="仿宋_GB2312" w:hAnsi="仿宋_GB2312" w:eastAsia="仿宋_GB2312" w:cs="仿宋_GB2312"/>
          <w:b w:val="0"/>
          <w:bCs w:val="0"/>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p>
    <w:p>
      <w:pPr>
        <w:keepNext w:val="0"/>
        <w:keepLines w:val="0"/>
        <w:pageBreakBefore w:val="0"/>
        <w:widowControl w:val="0"/>
        <w:numPr>
          <w:ilvl w:val="0"/>
          <w:numId w:val="1"/>
        </w:numPr>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 xml:space="preserve">版面布局 </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本章简要介绍主要的几种</w:t>
      </w:r>
      <w:r>
        <w:rPr>
          <w:rFonts w:hint="eastAsia" w:ascii="仿宋_GB2312" w:hAnsi="仿宋_GB2312" w:eastAsia="仿宋_GB2312" w:cs="仿宋_GB2312"/>
          <w:b w:val="0"/>
          <w:bCs w:val="0"/>
          <w:color w:val="auto"/>
          <w:sz w:val="21"/>
          <w:szCs w:val="21"/>
          <w:lang w:eastAsia="zh-CN"/>
        </w:rPr>
        <w:t>版</w:t>
      </w:r>
      <w:r>
        <w:rPr>
          <w:rFonts w:hint="eastAsia" w:ascii="仿宋_GB2312" w:hAnsi="仿宋_GB2312" w:eastAsia="仿宋_GB2312" w:cs="仿宋_GB2312"/>
          <w:b w:val="0"/>
          <w:bCs w:val="0"/>
          <w:color w:val="auto"/>
          <w:sz w:val="21"/>
          <w:szCs w:val="21"/>
        </w:rPr>
        <w:t>面构图方式等。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本章要求考生自行学习并熟练掌握一种</w:t>
      </w:r>
      <w:r>
        <w:rPr>
          <w:rFonts w:hint="eastAsia" w:ascii="仿宋_GB2312" w:hAnsi="仿宋_GB2312" w:eastAsia="仿宋_GB2312" w:cs="仿宋_GB2312"/>
          <w:b w:val="0"/>
          <w:bCs w:val="0"/>
          <w:color w:val="auto"/>
          <w:sz w:val="21"/>
          <w:szCs w:val="21"/>
          <w:lang w:eastAsia="zh-CN"/>
        </w:rPr>
        <w:t>版</w:t>
      </w:r>
      <w:r>
        <w:rPr>
          <w:rFonts w:hint="eastAsia" w:ascii="仿宋_GB2312" w:hAnsi="仿宋_GB2312" w:eastAsia="仿宋_GB2312" w:cs="仿宋_GB2312"/>
          <w:b w:val="0"/>
          <w:bCs w:val="0"/>
          <w:color w:val="auto"/>
          <w:sz w:val="21"/>
          <w:szCs w:val="21"/>
        </w:rPr>
        <w:t>面构图方式和设计形式</w:t>
      </w:r>
      <w:r>
        <w:rPr>
          <w:rFonts w:hint="eastAsia" w:ascii="仿宋_GB2312" w:hAnsi="仿宋_GB2312" w:eastAsia="仿宋_GB2312" w:cs="仿宋_GB2312"/>
          <w:b w:val="0"/>
          <w:bCs w:val="0"/>
          <w:color w:val="auto"/>
          <w:sz w:val="21"/>
          <w:szCs w:val="21"/>
          <w:lang w:eastAsia="zh-CN"/>
        </w:rPr>
        <w:t>，</w:t>
      </w:r>
      <w:r>
        <w:rPr>
          <w:rFonts w:hint="eastAsia" w:ascii="仿宋_GB2312" w:hAnsi="仿宋_GB2312" w:eastAsia="仿宋_GB2312" w:cs="仿宋_GB2312"/>
          <w:b w:val="0"/>
          <w:bCs w:val="0"/>
          <w:color w:val="auto"/>
          <w:sz w:val="21"/>
          <w:szCs w:val="21"/>
        </w:rPr>
        <w:t>初步理解</w:t>
      </w:r>
      <w:r>
        <w:rPr>
          <w:rFonts w:hint="eastAsia" w:ascii="仿宋_GB2312" w:hAnsi="仿宋_GB2312" w:eastAsia="仿宋_GB2312" w:cs="仿宋_GB2312"/>
          <w:b w:val="0"/>
          <w:bCs w:val="0"/>
          <w:color w:val="auto"/>
          <w:sz w:val="21"/>
          <w:szCs w:val="21"/>
          <w:lang w:eastAsia="zh-CN"/>
        </w:rPr>
        <w:t>版面</w:t>
      </w:r>
      <w:r>
        <w:rPr>
          <w:rFonts w:hint="eastAsia" w:ascii="仿宋_GB2312" w:hAnsi="仿宋_GB2312" w:eastAsia="仿宋_GB2312" w:cs="仿宋_GB2312"/>
          <w:b w:val="0"/>
          <w:bCs w:val="0"/>
          <w:color w:val="auto"/>
          <w:sz w:val="21"/>
          <w:szCs w:val="21"/>
        </w:rPr>
        <w:t>构图设计的基础</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numPr>
          <w:ilvl w:val="0"/>
          <w:numId w:val="2"/>
        </w:numPr>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3.1 界面版率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3.2 抠图法、破界法、局部提取</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default"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rPr>
        <w:t>3.3 对齐</w:t>
      </w:r>
      <w:r>
        <w:rPr>
          <w:rFonts w:hint="eastAsia" w:ascii="仿宋_GB2312" w:hAnsi="仿宋_GB2312" w:eastAsia="仿宋_GB2312" w:cs="仿宋_GB2312"/>
          <w:b w:val="0"/>
          <w:bCs w:val="0"/>
          <w:color w:val="auto"/>
          <w:sz w:val="21"/>
          <w:szCs w:val="21"/>
          <w:lang w:val="en-US" w:eastAsia="zh-CN"/>
        </w:rPr>
        <w:t>方式</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3.4 间距与视觉层次</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 xml:space="preserve">（一） 界面版率 </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color w:val="auto"/>
          <w:sz w:val="21"/>
          <w:szCs w:val="21"/>
        </w:rPr>
        <w:t>识记：界面版率的主要作用和表现形式</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color w:val="auto"/>
          <w:sz w:val="21"/>
          <w:szCs w:val="21"/>
        </w:rPr>
        <w:t>（二）抠图法、破界法、局部提取</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识记：界面中图片的典型处理方法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default"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color w:val="auto"/>
          <w:sz w:val="21"/>
          <w:szCs w:val="21"/>
        </w:rPr>
        <w:t>（三）对齐</w:t>
      </w:r>
      <w:r>
        <w:rPr>
          <w:rFonts w:hint="eastAsia" w:ascii="仿宋_GB2312" w:hAnsi="仿宋_GB2312" w:eastAsia="仿宋_GB2312" w:cs="仿宋_GB2312"/>
          <w:b w:val="0"/>
          <w:bCs w:val="0"/>
          <w:color w:val="auto"/>
          <w:sz w:val="21"/>
          <w:szCs w:val="21"/>
          <w:lang w:val="en-US" w:eastAsia="zh-CN"/>
        </w:rPr>
        <w:t>方式</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default"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rPr>
        <w:t>识记：界面中常</w:t>
      </w:r>
      <w:r>
        <w:rPr>
          <w:rFonts w:hint="eastAsia" w:ascii="仿宋_GB2312" w:hAnsi="仿宋_GB2312" w:eastAsia="仿宋_GB2312" w:cs="仿宋_GB2312"/>
          <w:b w:val="0"/>
          <w:bCs w:val="0"/>
          <w:color w:val="auto"/>
          <w:sz w:val="21"/>
          <w:szCs w:val="21"/>
          <w:lang w:val="en-US" w:eastAsia="zh-CN"/>
        </w:rPr>
        <w:t>用</w:t>
      </w:r>
      <w:r>
        <w:rPr>
          <w:rFonts w:hint="eastAsia" w:ascii="仿宋_GB2312" w:hAnsi="仿宋_GB2312" w:eastAsia="仿宋_GB2312" w:cs="仿宋_GB2312"/>
          <w:b w:val="0"/>
          <w:bCs w:val="0"/>
          <w:color w:val="auto"/>
          <w:sz w:val="21"/>
          <w:szCs w:val="21"/>
        </w:rPr>
        <w:t>的对齐</w:t>
      </w:r>
      <w:r>
        <w:rPr>
          <w:rFonts w:hint="eastAsia" w:ascii="仿宋_GB2312" w:hAnsi="仿宋_GB2312" w:eastAsia="仿宋_GB2312" w:cs="仿宋_GB2312"/>
          <w:b w:val="0"/>
          <w:bCs w:val="0"/>
          <w:color w:val="auto"/>
          <w:sz w:val="21"/>
          <w:szCs w:val="21"/>
          <w:lang w:val="en-US" w:eastAsia="zh-CN"/>
        </w:rPr>
        <w:t>方式</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领会：典型登录界面的对齐</w:t>
      </w:r>
      <w:r>
        <w:rPr>
          <w:rFonts w:hint="eastAsia" w:ascii="仿宋_GB2312" w:hAnsi="仿宋_GB2312" w:eastAsia="仿宋_GB2312" w:cs="仿宋_GB2312"/>
          <w:b w:val="0"/>
          <w:bCs w:val="0"/>
          <w:color w:val="auto"/>
          <w:sz w:val="21"/>
          <w:szCs w:val="21"/>
          <w:lang w:val="en-US" w:eastAsia="zh-CN"/>
        </w:rPr>
        <w:t>方式</w:t>
      </w:r>
      <w:r>
        <w:rPr>
          <w:rFonts w:hint="eastAsia" w:ascii="仿宋_GB2312" w:hAnsi="仿宋_GB2312" w:eastAsia="仿宋_GB2312" w:cs="仿宋_GB2312"/>
          <w:b w:val="0"/>
          <w:bCs w:val="0"/>
          <w:color w:val="auto"/>
          <w:sz w:val="21"/>
          <w:szCs w:val="21"/>
        </w:rPr>
        <w:t>应用举例</w:t>
      </w:r>
    </w:p>
    <w:p>
      <w:pPr>
        <w:keepNext w:val="0"/>
        <w:keepLines w:val="0"/>
        <w:pageBreakBefore w:val="0"/>
        <w:widowControl w:val="0"/>
        <w:kinsoku/>
        <w:wordWrap/>
        <w:overflowPunct/>
        <w:topLinePunct w:val="0"/>
        <w:autoSpaceDE/>
        <w:autoSpaceDN/>
        <w:bidi w:val="0"/>
        <w:snapToGrid w:val="0"/>
        <w:spacing w:line="240" w:lineRule="auto"/>
        <w:ind w:left="239" w:leftChars="114" w:right="0" w:rightChars="0" w:firstLine="210" w:firstLineChars="1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应用：根据需求选择对齐</w:t>
      </w:r>
      <w:r>
        <w:rPr>
          <w:rFonts w:hint="eastAsia" w:ascii="仿宋_GB2312" w:hAnsi="仿宋_GB2312" w:eastAsia="仿宋_GB2312" w:cs="仿宋_GB2312"/>
          <w:b w:val="0"/>
          <w:bCs w:val="0"/>
          <w:color w:val="auto"/>
          <w:sz w:val="21"/>
          <w:szCs w:val="21"/>
          <w:lang w:val="en-US" w:eastAsia="zh-CN"/>
        </w:rPr>
        <w:t>方式</w:t>
      </w:r>
      <w:r>
        <w:rPr>
          <w:rFonts w:hint="eastAsia" w:ascii="仿宋_GB2312" w:hAnsi="仿宋_GB2312" w:eastAsia="仿宋_GB2312" w:cs="仿宋_GB2312"/>
          <w:b w:val="0"/>
          <w:bCs w:val="0"/>
          <w:color w:val="auto"/>
          <w:sz w:val="21"/>
          <w:szCs w:val="21"/>
        </w:rPr>
        <w:t>进行布局的设计</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color w:val="auto"/>
          <w:sz w:val="21"/>
          <w:szCs w:val="21"/>
        </w:rPr>
        <w:t>（四）间距与视觉层次</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识记：间距和视觉层次的作用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领会：间距控制和视觉层次应用的典型案例</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sz w:val="21"/>
          <w:szCs w:val="21"/>
        </w:rPr>
        <w:t>本章的重点：版面布局的典型类型</w:t>
      </w:r>
      <w:r>
        <w:rPr>
          <w:rFonts w:hint="eastAsia" w:ascii="仿宋_GB2312" w:hAnsi="仿宋_GB2312" w:eastAsia="仿宋_GB2312" w:cs="仿宋_GB2312"/>
          <w:b w:val="0"/>
          <w:bCs w:val="0"/>
          <w:color w:val="auto"/>
          <w:sz w:val="21"/>
          <w:szCs w:val="21"/>
        </w:rPr>
        <w:t>及特点</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sz w:val="21"/>
          <w:szCs w:val="21"/>
        </w:rPr>
        <w:t>本章的难点：根据需求选择不同版面布局进行界面设计</w:t>
      </w:r>
      <w:r>
        <w:rPr>
          <w:rFonts w:hint="eastAsia" w:ascii="仿宋_GB2312" w:hAnsi="仿宋_GB2312" w:eastAsia="仿宋_GB2312" w:cs="仿宋_GB2312"/>
          <w:b w:val="0"/>
          <w:bCs w:val="0"/>
          <w:color w:val="auto"/>
          <w:sz w:val="21"/>
          <w:szCs w:val="21"/>
        </w:rPr>
        <w:t>。</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rPr>
      </w:pPr>
    </w:p>
    <w:p>
      <w:pPr>
        <w:keepNext w:val="0"/>
        <w:keepLines w:val="0"/>
        <w:pageBreakBefore w:val="0"/>
        <w:widowControl w:val="0"/>
        <w:numPr>
          <w:ilvl w:val="0"/>
          <w:numId w:val="1"/>
        </w:numPr>
        <w:kinsoku/>
        <w:wordWrap/>
        <w:overflowPunct/>
        <w:topLinePunct w:val="0"/>
        <w:autoSpaceDE/>
        <w:autoSpaceDN/>
        <w:bidi w:val="0"/>
        <w:snapToGrid w:val="0"/>
        <w:spacing w:line="240" w:lineRule="auto"/>
        <w:ind w:right="0" w:rightChars="0" w:firstLine="482"/>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val="en-US" w:eastAsia="zh-CN"/>
        </w:rPr>
        <w:t>界面用色</w:t>
      </w:r>
      <w:r>
        <w:rPr>
          <w:rFonts w:hint="eastAsia" w:ascii="仿宋_GB2312" w:hAnsi="仿宋_GB2312" w:eastAsia="仿宋_GB2312" w:cs="仿宋_GB2312"/>
          <w:b w:val="0"/>
          <w:bCs w:val="0"/>
          <w:color w:val="auto"/>
          <w:sz w:val="21"/>
          <w:szCs w:val="21"/>
        </w:rPr>
        <w:t xml:space="preserve"> </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本章简要介绍界面中的色彩的运用方式和原理。</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本章要求考生自行学习并熟练掌握界面设计的配色方法。</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二、</w:t>
      </w:r>
      <w:r>
        <w:rPr>
          <w:rFonts w:hint="eastAsia" w:ascii="仿宋_GB2312" w:hAnsi="仿宋_GB2312" w:eastAsia="仿宋_GB2312" w:cs="仿宋_GB2312"/>
          <w:b w:val="0"/>
          <w:bCs w:val="0"/>
          <w:sz w:val="21"/>
          <w:szCs w:val="21"/>
        </w:rPr>
        <w:t>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val="en-US" w:eastAsia="zh-CN"/>
        </w:rPr>
        <w:t>4</w:t>
      </w:r>
      <w:r>
        <w:rPr>
          <w:rFonts w:hint="eastAsia" w:ascii="仿宋_GB2312" w:hAnsi="仿宋_GB2312" w:eastAsia="仿宋_GB2312" w:cs="仿宋_GB2312"/>
          <w:b w:val="0"/>
          <w:bCs w:val="0"/>
          <w:color w:val="auto"/>
          <w:sz w:val="21"/>
          <w:szCs w:val="21"/>
        </w:rPr>
        <w:t>.1 感知色彩</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val="en-US" w:eastAsia="zh-CN"/>
        </w:rPr>
        <w:t>4</w:t>
      </w:r>
      <w:r>
        <w:rPr>
          <w:rFonts w:hint="eastAsia" w:ascii="仿宋_GB2312" w:hAnsi="仿宋_GB2312" w:eastAsia="仿宋_GB2312" w:cs="仿宋_GB2312"/>
          <w:b w:val="0"/>
          <w:bCs w:val="0"/>
          <w:color w:val="auto"/>
          <w:sz w:val="21"/>
          <w:szCs w:val="21"/>
        </w:rPr>
        <w:t>.2 主色、辅助色、点睛色及配色方法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 xml:space="preserve">（一） 感知色彩 </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识记：7种颜色和其代表的感知含义</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color w:val="auto"/>
          <w:sz w:val="21"/>
          <w:szCs w:val="21"/>
        </w:rPr>
        <w:t>领会：不同色彩的运用场合</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default"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color w:val="auto"/>
          <w:sz w:val="21"/>
          <w:szCs w:val="21"/>
        </w:rPr>
        <w:t>（二）主色、辅助色、点睛色及</w:t>
      </w:r>
      <w:r>
        <w:rPr>
          <w:rFonts w:hint="eastAsia" w:ascii="仿宋_GB2312" w:hAnsi="仿宋_GB2312" w:eastAsia="仿宋_GB2312" w:cs="仿宋_GB2312"/>
          <w:b w:val="0"/>
          <w:bCs w:val="0"/>
          <w:color w:val="auto"/>
          <w:sz w:val="21"/>
          <w:szCs w:val="21"/>
          <w:lang w:val="en-US" w:eastAsia="zh-CN"/>
        </w:rPr>
        <w:t>如何配色</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识记：主色、辅助色、点睛色的特点和应用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领会：典型色彩搭配原则</w:t>
      </w:r>
    </w:p>
    <w:p>
      <w:pPr>
        <w:keepNext w:val="0"/>
        <w:keepLines w:val="0"/>
        <w:pageBreakBefore w:val="0"/>
        <w:widowControl w:val="0"/>
        <w:kinsoku/>
        <w:wordWrap/>
        <w:overflowPunct/>
        <w:topLinePunct w:val="0"/>
        <w:autoSpaceDE/>
        <w:autoSpaceDN/>
        <w:bidi w:val="0"/>
        <w:snapToGrid w:val="0"/>
        <w:spacing w:line="240" w:lineRule="auto"/>
        <w:ind w:left="239" w:leftChars="114" w:right="0" w:rightChars="0" w:firstLine="210" w:firstLineChars="1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应用：根据需求选择色彩搭配进行色彩统一的界面设计</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sz w:val="21"/>
          <w:szCs w:val="21"/>
        </w:rPr>
        <w:t>本章的重点：色彩的搭配方式</w:t>
      </w:r>
      <w:r>
        <w:rPr>
          <w:rFonts w:hint="eastAsia" w:ascii="仿宋_GB2312" w:hAnsi="仿宋_GB2312" w:eastAsia="仿宋_GB2312" w:cs="仿宋_GB2312"/>
          <w:b w:val="0"/>
          <w:bCs w:val="0"/>
          <w:color w:val="auto"/>
          <w:sz w:val="21"/>
          <w:szCs w:val="21"/>
        </w:rPr>
        <w:t>及特点</w:t>
      </w:r>
      <w:r>
        <w:rPr>
          <w:rFonts w:hint="eastAsia" w:ascii="仿宋_GB2312" w:hAnsi="仿宋_GB2312" w:eastAsia="仿宋_GB2312" w:cs="仿宋_GB2312"/>
          <w:b w:val="0"/>
          <w:bCs w:val="0"/>
          <w:color w:val="auto"/>
          <w:sz w:val="21"/>
          <w:szCs w:val="21"/>
          <w:lang w:eastAsia="zh-CN"/>
        </w:rPr>
        <w:t>。</w:t>
      </w:r>
      <w:r>
        <w:rPr>
          <w:rFonts w:hint="eastAsia" w:ascii="仿宋_GB2312" w:hAnsi="仿宋_GB2312" w:eastAsia="仿宋_GB2312" w:cs="仿宋_GB2312"/>
          <w:b w:val="0"/>
          <w:bCs w:val="0"/>
          <w:color w:val="auto"/>
          <w:sz w:val="21"/>
          <w:szCs w:val="21"/>
        </w:rPr>
        <w:t xml:space="preserve"> </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本章的难点：根据需求选择不同色彩搭配的进行界面设计</w:t>
      </w:r>
      <w:r>
        <w:rPr>
          <w:rFonts w:hint="eastAsia" w:ascii="仿宋_GB2312" w:hAnsi="仿宋_GB2312" w:eastAsia="仿宋_GB2312" w:cs="仿宋_GB2312"/>
          <w:b w:val="0"/>
          <w:bCs w:val="0"/>
          <w:color w:val="auto"/>
          <w:sz w:val="21"/>
          <w:szCs w:val="21"/>
        </w:rPr>
        <w:t>。</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p>
    <w:p>
      <w:pPr>
        <w:keepNext w:val="0"/>
        <w:keepLines w:val="0"/>
        <w:pageBreakBefore w:val="0"/>
        <w:widowControl w:val="0"/>
        <w:numPr>
          <w:ilvl w:val="0"/>
          <w:numId w:val="1"/>
        </w:numPr>
        <w:kinsoku/>
        <w:wordWrap/>
        <w:overflowPunct/>
        <w:topLinePunct w:val="0"/>
        <w:autoSpaceDE/>
        <w:autoSpaceDN/>
        <w:bidi w:val="0"/>
        <w:snapToGrid w:val="0"/>
        <w:spacing w:line="240" w:lineRule="auto"/>
        <w:ind w:right="0" w:rightChars="0" w:firstLine="482"/>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 xml:space="preserve">设计原则与规范 </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本章简要介绍界面中ios和android界面的设计规范和原则以及如何建立一套设计规范。</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本章要求考生自行学习并熟练掌握两大智能手机系统界面的设计原则和规范。</w:t>
      </w:r>
    </w:p>
    <w:p>
      <w:pPr>
        <w:keepNext w:val="0"/>
        <w:keepLines w:val="0"/>
        <w:pageBreakBefore w:val="0"/>
        <w:widowControl w:val="0"/>
        <w:numPr>
          <w:ilvl w:val="0"/>
          <w:numId w:val="2"/>
        </w:numPr>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val="en-US" w:eastAsia="zh-CN"/>
        </w:rPr>
        <w:t>5</w:t>
      </w:r>
      <w:r>
        <w:rPr>
          <w:rFonts w:hint="eastAsia" w:ascii="仿宋_GB2312" w:hAnsi="仿宋_GB2312" w:eastAsia="仿宋_GB2312" w:cs="仿宋_GB2312"/>
          <w:b w:val="0"/>
          <w:bCs w:val="0"/>
          <w:color w:val="auto"/>
          <w:sz w:val="21"/>
          <w:szCs w:val="21"/>
        </w:rPr>
        <w:t>.1 ios设计原则和规范</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val="en-US" w:eastAsia="zh-CN"/>
        </w:rPr>
        <w:t>5</w:t>
      </w:r>
      <w:r>
        <w:rPr>
          <w:rFonts w:hint="eastAsia" w:ascii="仿宋_GB2312" w:hAnsi="仿宋_GB2312" w:eastAsia="仿宋_GB2312" w:cs="仿宋_GB2312"/>
          <w:b w:val="0"/>
          <w:bCs w:val="0"/>
          <w:color w:val="auto"/>
          <w:sz w:val="21"/>
          <w:szCs w:val="21"/>
        </w:rPr>
        <w:t>.2 android设计原则和规范</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val="en-US" w:eastAsia="zh-CN"/>
        </w:rPr>
        <w:t>5</w:t>
      </w:r>
      <w:r>
        <w:rPr>
          <w:rFonts w:hint="eastAsia" w:ascii="仿宋_GB2312" w:hAnsi="仿宋_GB2312" w:eastAsia="仿宋_GB2312" w:cs="仿宋_GB2312"/>
          <w:b w:val="0"/>
          <w:bCs w:val="0"/>
          <w:color w:val="auto"/>
          <w:sz w:val="21"/>
          <w:szCs w:val="21"/>
        </w:rPr>
        <w:t xml:space="preserve">.3 </w:t>
      </w:r>
      <w:r>
        <w:rPr>
          <w:rFonts w:hint="eastAsia" w:ascii="仿宋_GB2312" w:hAnsi="仿宋_GB2312" w:eastAsia="仿宋_GB2312" w:cs="仿宋_GB2312"/>
          <w:b w:val="0"/>
          <w:bCs w:val="0"/>
          <w:color w:val="auto"/>
          <w:sz w:val="21"/>
          <w:szCs w:val="21"/>
          <w:lang w:val="en-US" w:eastAsia="zh-CN"/>
        </w:rPr>
        <w:t>制定</w:t>
      </w:r>
      <w:r>
        <w:rPr>
          <w:rFonts w:hint="eastAsia" w:ascii="仿宋_GB2312" w:hAnsi="仿宋_GB2312" w:eastAsia="仿宋_GB2312" w:cs="仿宋_GB2312"/>
          <w:b w:val="0"/>
          <w:bCs w:val="0"/>
          <w:color w:val="auto"/>
          <w:sz w:val="21"/>
          <w:szCs w:val="21"/>
        </w:rPr>
        <w:t>一套设计规范</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 ios设计原则和规范</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识记：ios的五大设计原则、ios界面尺寸和控件设计规范</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color w:val="auto"/>
          <w:sz w:val="21"/>
          <w:szCs w:val="21"/>
        </w:rPr>
        <w:t>（二）android设计原则和规范</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识记：android设计原则和控件、设计尺寸和单位</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color w:val="auto"/>
          <w:sz w:val="21"/>
          <w:szCs w:val="21"/>
        </w:rPr>
        <w:t>（三）</w:t>
      </w:r>
      <w:r>
        <w:rPr>
          <w:rFonts w:hint="eastAsia" w:ascii="仿宋_GB2312" w:hAnsi="仿宋_GB2312" w:eastAsia="仿宋_GB2312" w:cs="仿宋_GB2312"/>
          <w:b w:val="0"/>
          <w:bCs w:val="0"/>
          <w:color w:val="auto"/>
          <w:sz w:val="21"/>
          <w:szCs w:val="21"/>
          <w:lang w:val="en-US" w:eastAsia="zh-CN"/>
        </w:rPr>
        <w:t>制定</w:t>
      </w:r>
      <w:r>
        <w:rPr>
          <w:rFonts w:hint="eastAsia" w:ascii="仿宋_GB2312" w:hAnsi="仿宋_GB2312" w:eastAsia="仿宋_GB2312" w:cs="仿宋_GB2312"/>
          <w:b w:val="0"/>
          <w:bCs w:val="0"/>
          <w:color w:val="auto"/>
          <w:sz w:val="21"/>
          <w:szCs w:val="21"/>
        </w:rPr>
        <w:t>一套设计规范</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识记：设计规范包含的8种规范类型和作用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领会：如何运用规范标准化界面设计</w:t>
      </w:r>
    </w:p>
    <w:p>
      <w:pPr>
        <w:keepNext w:val="0"/>
        <w:keepLines w:val="0"/>
        <w:pageBreakBefore w:val="0"/>
        <w:widowControl w:val="0"/>
        <w:kinsoku/>
        <w:wordWrap/>
        <w:overflowPunct/>
        <w:topLinePunct w:val="0"/>
        <w:autoSpaceDE/>
        <w:autoSpaceDN/>
        <w:bidi w:val="0"/>
        <w:snapToGrid w:val="0"/>
        <w:spacing w:line="240" w:lineRule="auto"/>
        <w:ind w:left="239" w:leftChars="114" w:right="0" w:rightChars="0" w:firstLine="210" w:firstLineChars="1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应用：设计一套符合规范的界面</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sz w:val="21"/>
          <w:szCs w:val="21"/>
        </w:rPr>
        <w:t>本章的重点：界面设计原则和规范的种类和相关标准</w:t>
      </w:r>
      <w:r>
        <w:rPr>
          <w:rFonts w:hint="eastAsia" w:ascii="仿宋_GB2312" w:hAnsi="仿宋_GB2312" w:eastAsia="仿宋_GB2312" w:cs="仿宋_GB2312"/>
          <w:b w:val="0"/>
          <w:bCs w:val="0"/>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本章的难点：按照设计原则和规范来进行界面设计</w:t>
      </w:r>
      <w:r>
        <w:rPr>
          <w:rFonts w:hint="eastAsia" w:ascii="仿宋_GB2312" w:hAnsi="仿宋_GB2312" w:eastAsia="仿宋_GB2312" w:cs="仿宋_GB2312"/>
          <w:b w:val="0"/>
          <w:bCs w:val="0"/>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482" w:right="0" w:rightChars="0"/>
        <w:rPr>
          <w:rFonts w:hint="eastAsia" w:ascii="仿宋_GB2312" w:hAnsi="仿宋_GB2312" w:eastAsia="仿宋_GB2312" w:cs="仿宋_GB2312"/>
          <w:b w:val="0"/>
          <w:bCs w:val="0"/>
          <w:color w:val="auto"/>
          <w:sz w:val="21"/>
          <w:szCs w:val="21"/>
        </w:rPr>
      </w:pPr>
    </w:p>
    <w:p>
      <w:pPr>
        <w:keepNext w:val="0"/>
        <w:keepLines w:val="0"/>
        <w:pageBreakBefore w:val="0"/>
        <w:widowControl w:val="0"/>
        <w:numPr>
          <w:ilvl w:val="0"/>
          <w:numId w:val="1"/>
        </w:numPr>
        <w:kinsoku/>
        <w:wordWrap/>
        <w:overflowPunct/>
        <w:topLinePunct w:val="0"/>
        <w:autoSpaceDE/>
        <w:autoSpaceDN/>
        <w:bidi w:val="0"/>
        <w:snapToGrid w:val="0"/>
        <w:spacing w:line="240" w:lineRule="auto"/>
        <w:ind w:right="0" w:rightChars="0" w:firstLine="482"/>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图标设计</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本章简要介绍界面中图标的创意和类型以及如何实战设计图标</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本章要求考生自行学习并熟练掌握图标的设计方法。</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二、</w:t>
      </w:r>
      <w:r>
        <w:rPr>
          <w:rFonts w:hint="eastAsia" w:ascii="仿宋_GB2312" w:hAnsi="仿宋_GB2312" w:eastAsia="仿宋_GB2312" w:cs="仿宋_GB2312"/>
          <w:b w:val="0"/>
          <w:bCs w:val="0"/>
          <w:sz w:val="21"/>
          <w:szCs w:val="21"/>
        </w:rPr>
        <w:t>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val="en-US" w:eastAsia="zh-CN"/>
        </w:rPr>
        <w:t>6</w:t>
      </w:r>
      <w:r>
        <w:rPr>
          <w:rFonts w:hint="eastAsia" w:ascii="仿宋_GB2312" w:hAnsi="仿宋_GB2312" w:eastAsia="仿宋_GB2312" w:cs="仿宋_GB2312"/>
          <w:b w:val="0"/>
          <w:bCs w:val="0"/>
          <w:color w:val="auto"/>
          <w:sz w:val="21"/>
          <w:szCs w:val="21"/>
        </w:rPr>
        <w:t>.1 图标创意</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val="en-US" w:eastAsia="zh-CN"/>
        </w:rPr>
        <w:t>6</w:t>
      </w:r>
      <w:r>
        <w:rPr>
          <w:rFonts w:hint="eastAsia" w:ascii="仿宋_GB2312" w:hAnsi="仿宋_GB2312" w:eastAsia="仿宋_GB2312" w:cs="仿宋_GB2312"/>
          <w:b w:val="0"/>
          <w:bCs w:val="0"/>
          <w:color w:val="auto"/>
          <w:sz w:val="21"/>
          <w:szCs w:val="21"/>
        </w:rPr>
        <w:t>.2 图标类型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val="en-US" w:eastAsia="zh-CN"/>
        </w:rPr>
        <w:t>6</w:t>
      </w:r>
      <w:r>
        <w:rPr>
          <w:rFonts w:hint="eastAsia" w:ascii="仿宋_GB2312" w:hAnsi="仿宋_GB2312" w:eastAsia="仿宋_GB2312" w:cs="仿宋_GB2312"/>
          <w:b w:val="0"/>
          <w:bCs w:val="0"/>
          <w:color w:val="auto"/>
          <w:sz w:val="21"/>
          <w:szCs w:val="21"/>
        </w:rPr>
        <w:t>.3 实战绘制</w:t>
      </w:r>
      <w:r>
        <w:rPr>
          <w:rFonts w:hint="eastAsia" w:ascii="仿宋_GB2312" w:hAnsi="仿宋_GB2312" w:eastAsia="仿宋_GB2312" w:cs="仿宋_GB2312"/>
          <w:b w:val="0"/>
          <w:bCs w:val="0"/>
          <w:color w:val="auto"/>
          <w:sz w:val="21"/>
          <w:szCs w:val="21"/>
          <w:lang w:val="en-US" w:eastAsia="zh-CN"/>
        </w:rPr>
        <w:t>功能</w:t>
      </w:r>
      <w:r>
        <w:rPr>
          <w:rFonts w:hint="eastAsia" w:ascii="仿宋_GB2312" w:hAnsi="仿宋_GB2312" w:eastAsia="仿宋_GB2312" w:cs="仿宋_GB2312"/>
          <w:b w:val="0"/>
          <w:bCs w:val="0"/>
          <w:color w:val="auto"/>
          <w:sz w:val="21"/>
          <w:szCs w:val="21"/>
        </w:rPr>
        <w:t>图标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（一）图标创意</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识记：典型的图标创意方式</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color w:val="auto"/>
          <w:sz w:val="21"/>
          <w:szCs w:val="21"/>
        </w:rPr>
        <w:t>（二）图标类型</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识记：5种典型图标类型</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领会：典型图标的典型案例</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color w:val="auto"/>
          <w:sz w:val="21"/>
          <w:szCs w:val="21"/>
        </w:rPr>
        <w:t>（三）实战绘制</w:t>
      </w:r>
      <w:r>
        <w:rPr>
          <w:rFonts w:hint="eastAsia" w:ascii="仿宋_GB2312" w:hAnsi="仿宋_GB2312" w:eastAsia="仿宋_GB2312" w:cs="仿宋_GB2312"/>
          <w:b w:val="0"/>
          <w:bCs w:val="0"/>
          <w:color w:val="auto"/>
          <w:sz w:val="21"/>
          <w:szCs w:val="21"/>
          <w:lang w:val="en-US" w:eastAsia="zh-CN"/>
        </w:rPr>
        <w:t>功能</w:t>
      </w:r>
      <w:r>
        <w:rPr>
          <w:rFonts w:hint="eastAsia" w:ascii="仿宋_GB2312" w:hAnsi="仿宋_GB2312" w:eastAsia="仿宋_GB2312" w:cs="仿宋_GB2312"/>
          <w:b w:val="0"/>
          <w:bCs w:val="0"/>
          <w:color w:val="auto"/>
          <w:sz w:val="21"/>
          <w:szCs w:val="21"/>
        </w:rPr>
        <w:t>图标</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识记：功能图标设计规范</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领会：学会如何制作立体图标</w:t>
      </w:r>
    </w:p>
    <w:p>
      <w:pPr>
        <w:keepNext w:val="0"/>
        <w:keepLines w:val="0"/>
        <w:pageBreakBefore w:val="0"/>
        <w:widowControl w:val="0"/>
        <w:kinsoku/>
        <w:wordWrap/>
        <w:overflowPunct/>
        <w:topLinePunct w:val="0"/>
        <w:autoSpaceDE/>
        <w:autoSpaceDN/>
        <w:bidi w:val="0"/>
        <w:snapToGrid w:val="0"/>
        <w:spacing w:line="240" w:lineRule="auto"/>
        <w:ind w:left="239" w:leftChars="114" w:right="0" w:rightChars="0" w:firstLine="210" w:firstLineChars="1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应用：设计图标</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sz w:val="21"/>
          <w:szCs w:val="21"/>
        </w:rPr>
        <w:t>本章的重点：典型图标的设计规范和设计流程</w:t>
      </w:r>
      <w:r>
        <w:rPr>
          <w:rFonts w:hint="eastAsia" w:ascii="仿宋_GB2312" w:hAnsi="仿宋_GB2312" w:eastAsia="仿宋_GB2312" w:cs="仿宋_GB2312"/>
          <w:b w:val="0"/>
          <w:bCs w:val="0"/>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本章的难点：如何选择合适的图标类型进行创作</w:t>
      </w:r>
      <w:r>
        <w:rPr>
          <w:rFonts w:hint="eastAsia" w:ascii="仿宋_GB2312" w:hAnsi="仿宋_GB2312" w:eastAsia="仿宋_GB2312" w:cs="仿宋_GB2312"/>
          <w:b w:val="0"/>
          <w:bCs w:val="0"/>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Ⅳ  关于大纲的说明与考核实施要求</w:t>
      </w:r>
    </w:p>
    <w:p>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一、自学考试大纲的目的和作用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该</w:t>
      </w:r>
      <w:r>
        <w:rPr>
          <w:rFonts w:hint="eastAsia" w:ascii="仿宋_GB2312" w:hAnsi="仿宋_GB2312" w:eastAsia="仿宋_GB2312" w:cs="仿宋_GB2312"/>
          <w:b w:val="0"/>
          <w:bCs w:val="0"/>
          <w:sz w:val="21"/>
          <w:szCs w:val="21"/>
        </w:rPr>
        <w:t>课程自学考试大纲是根据专业自学考试计划的要求，结合自学考试的特点而确定。其目的是对个人自学、社会助学和课程考试命题进行指导和规定。</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明确了课程学习的内容以及深广度，规定了课程自学考试的范围和标准。因此，它是编写自学考试教材和辅导书的依据，是社会助学组织进行自学辅导的依据，是自学者学习教材、掌握课程内容知识范围和程度的依据，也是进行自学考试命题的依据。</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二、课程自学考试大纲与教材的关系</w:t>
      </w:r>
    </w:p>
    <w:p>
      <w:pPr>
        <w:pStyle w:val="3"/>
        <w:keepNext w:val="0"/>
        <w:keepLines w:val="0"/>
        <w:pageBreakBefore w:val="0"/>
        <w:widowControl w:val="0"/>
        <w:kinsoku/>
        <w:wordWrap/>
        <w:overflowPunct/>
        <w:topLinePunct w:val="0"/>
        <w:autoSpaceDE/>
        <w:autoSpaceDN/>
        <w:bidi w:val="0"/>
        <w:snapToGrid w:val="0"/>
        <w:spacing w:after="0"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是进行学习和考核的依据，教材给出了学习掌握课程知识的基本内容与范围，教材的内容还包括大纲所规定的课程知识的扩展与发挥。课程内容在教材中可以体现一定的深度或难度，但在大纲中对考核的要求一定要适当。</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大纲与教材所体现的课程内容基本一致；大纲里面的课程内容和考核知识点，教材里一般也要有。反过来教材里有的内容，大纲里就不一定体现。</w:t>
      </w:r>
    </w:p>
    <w:p>
      <w:pPr>
        <w:keepNext w:val="0"/>
        <w:keepLines w:val="0"/>
        <w:pageBreakBefore w:val="0"/>
        <w:widowControl w:val="0"/>
        <w:numPr>
          <w:ilvl w:val="0"/>
          <w:numId w:val="3"/>
        </w:numPr>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关于自学教材</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bookmarkStart w:id="0" w:name="_GoBack"/>
      <w:r>
        <w:rPr>
          <w:rFonts w:hint="eastAsia" w:ascii="仿宋_GB2312" w:hAnsi="仿宋_GB2312" w:eastAsia="仿宋_GB2312" w:cs="仿宋_GB2312"/>
          <w:b w:val="0"/>
          <w:bCs w:val="0"/>
          <w:color w:val="auto"/>
          <w:sz w:val="21"/>
          <w:szCs w:val="21"/>
        </w:rPr>
        <w:t>《</w:t>
      </w:r>
      <w:r>
        <w:rPr>
          <w:rFonts w:hint="eastAsia" w:ascii="仿宋_GB2312" w:hAnsi="仿宋_GB2312" w:eastAsia="仿宋_GB2312" w:cs="仿宋_GB2312"/>
          <w:b w:val="0"/>
          <w:bCs w:val="0"/>
          <w:color w:val="auto"/>
          <w:sz w:val="21"/>
          <w:szCs w:val="21"/>
          <w:lang w:eastAsia="zh-CN"/>
        </w:rPr>
        <w:t>新</w:t>
      </w:r>
      <w:r>
        <w:rPr>
          <w:rFonts w:hint="eastAsia" w:ascii="仿宋_GB2312" w:hAnsi="仿宋_GB2312" w:eastAsia="仿宋_GB2312" w:cs="仿宋_GB2312"/>
          <w:b w:val="0"/>
          <w:bCs w:val="0"/>
          <w:color w:val="auto"/>
          <w:sz w:val="21"/>
          <w:szCs w:val="21"/>
        </w:rPr>
        <w:t>印象</w:t>
      </w:r>
      <w:r>
        <w:rPr>
          <w:rFonts w:hint="eastAsia" w:ascii="仿宋_GB2312" w:hAnsi="仿宋_GB2312" w:eastAsia="仿宋_GB2312" w:cs="仿宋_GB2312"/>
          <w:b w:val="0"/>
          <w:bCs w:val="0"/>
          <w:color w:val="auto"/>
          <w:sz w:val="21"/>
          <w:szCs w:val="21"/>
          <w:lang w:eastAsia="zh-CN"/>
        </w:rPr>
        <w:t>：</w:t>
      </w:r>
      <w:r>
        <w:rPr>
          <w:rFonts w:hint="eastAsia" w:ascii="仿宋_GB2312" w:hAnsi="仿宋_GB2312" w:eastAsia="仿宋_GB2312" w:cs="仿宋_GB2312"/>
          <w:b w:val="0"/>
          <w:bCs w:val="0"/>
          <w:color w:val="auto"/>
          <w:sz w:val="21"/>
          <w:szCs w:val="21"/>
        </w:rPr>
        <w:t>解构UI设计》</w:t>
      </w:r>
      <w:r>
        <w:rPr>
          <w:rFonts w:hint="eastAsia" w:ascii="仿宋_GB2312" w:hAnsi="仿宋_GB2312" w:eastAsia="仿宋_GB2312" w:cs="仿宋_GB2312"/>
          <w:b w:val="0"/>
          <w:bCs w:val="0"/>
          <w:color w:val="auto"/>
          <w:sz w:val="21"/>
          <w:szCs w:val="21"/>
          <w:lang w:eastAsia="zh-CN"/>
        </w:rPr>
        <w:t>，</w:t>
      </w:r>
      <w:r>
        <w:rPr>
          <w:rFonts w:hint="eastAsia" w:ascii="仿宋_GB2312" w:hAnsi="仿宋_GB2312" w:eastAsia="仿宋_GB2312" w:cs="仿宋_GB2312"/>
          <w:b w:val="0"/>
          <w:bCs w:val="0"/>
          <w:color w:val="auto"/>
          <w:sz w:val="21"/>
          <w:szCs w:val="21"/>
        </w:rPr>
        <w:t>王</w:t>
      </w:r>
      <w:r>
        <w:rPr>
          <w:rFonts w:hint="eastAsia" w:ascii="仿宋_GB2312" w:hAnsi="仿宋_GB2312" w:eastAsia="仿宋_GB2312" w:cs="仿宋_GB2312"/>
          <w:b w:val="0"/>
          <w:bCs w:val="0"/>
          <w:color w:val="auto"/>
          <w:sz w:val="21"/>
          <w:szCs w:val="21"/>
          <w:lang w:eastAsia="zh-CN"/>
        </w:rPr>
        <w:t>铎</w:t>
      </w:r>
      <w:r>
        <w:rPr>
          <w:rFonts w:hint="eastAsia" w:ascii="仿宋_GB2312" w:hAnsi="仿宋_GB2312" w:eastAsia="仿宋_GB2312" w:cs="仿宋_GB2312"/>
          <w:b w:val="0"/>
          <w:bCs w:val="0"/>
          <w:color w:val="auto"/>
          <w:sz w:val="21"/>
          <w:szCs w:val="21"/>
        </w:rPr>
        <w:t>编著，人民邮电出版社出版，20</w:t>
      </w:r>
      <w:r>
        <w:rPr>
          <w:rFonts w:hint="eastAsia" w:ascii="仿宋_GB2312" w:hAnsi="仿宋_GB2312" w:eastAsia="仿宋_GB2312" w:cs="仿宋_GB2312"/>
          <w:b w:val="0"/>
          <w:bCs w:val="0"/>
          <w:color w:val="auto"/>
          <w:sz w:val="21"/>
          <w:szCs w:val="21"/>
          <w:lang w:val="en-US" w:eastAsia="zh-CN"/>
        </w:rPr>
        <w:t>22</w:t>
      </w:r>
      <w:r>
        <w:rPr>
          <w:rFonts w:hint="eastAsia" w:ascii="仿宋_GB2312" w:hAnsi="仿宋_GB2312" w:eastAsia="仿宋_GB2312" w:cs="仿宋_GB2312"/>
          <w:b w:val="0"/>
          <w:bCs w:val="0"/>
          <w:color w:val="auto"/>
          <w:sz w:val="21"/>
          <w:szCs w:val="21"/>
        </w:rPr>
        <w:t>年</w:t>
      </w:r>
      <w:r>
        <w:rPr>
          <w:rFonts w:hint="eastAsia" w:ascii="仿宋_GB2312" w:hAnsi="仿宋_GB2312" w:eastAsia="仿宋_GB2312" w:cs="仿宋_GB2312"/>
          <w:b w:val="0"/>
          <w:bCs w:val="0"/>
          <w:color w:val="auto"/>
          <w:sz w:val="21"/>
          <w:szCs w:val="21"/>
          <w:lang w:val="en-US" w:eastAsia="zh-CN"/>
        </w:rPr>
        <w:t>版（</w:t>
      </w:r>
      <w:r>
        <w:rPr>
          <w:rFonts w:hint="eastAsia" w:ascii="仿宋_GB2312" w:hAnsi="仿宋_GB2312" w:eastAsia="仿宋_GB2312" w:cs="仿宋_GB2312"/>
          <w:b w:val="0"/>
          <w:bCs w:val="0"/>
          <w:color w:val="auto"/>
          <w:sz w:val="21"/>
          <w:szCs w:val="21"/>
        </w:rPr>
        <w:t>第</w:t>
      </w:r>
      <w:r>
        <w:rPr>
          <w:rFonts w:hint="eastAsia" w:ascii="仿宋_GB2312" w:hAnsi="仿宋_GB2312" w:eastAsia="仿宋_GB2312" w:cs="仿宋_GB2312"/>
          <w:b w:val="0"/>
          <w:bCs w:val="0"/>
          <w:color w:val="auto"/>
          <w:sz w:val="21"/>
          <w:szCs w:val="21"/>
          <w:lang w:val="en-US" w:eastAsia="zh-CN"/>
        </w:rPr>
        <w:t>2</w:t>
      </w:r>
      <w:r>
        <w:rPr>
          <w:rFonts w:hint="eastAsia" w:ascii="仿宋_GB2312" w:hAnsi="仿宋_GB2312" w:eastAsia="仿宋_GB2312" w:cs="仿宋_GB2312"/>
          <w:b w:val="0"/>
          <w:bCs w:val="0"/>
          <w:color w:val="auto"/>
          <w:sz w:val="21"/>
          <w:szCs w:val="21"/>
        </w:rPr>
        <w:t>版</w:t>
      </w:r>
      <w:r>
        <w:rPr>
          <w:rFonts w:hint="eastAsia" w:ascii="仿宋_GB2312" w:hAnsi="仿宋_GB2312" w:eastAsia="仿宋_GB2312" w:cs="仿宋_GB2312"/>
          <w:b w:val="0"/>
          <w:bCs w:val="0"/>
          <w:color w:val="auto"/>
          <w:sz w:val="21"/>
          <w:szCs w:val="21"/>
          <w:lang w:eastAsia="zh-CN"/>
        </w:rPr>
        <w:t>）</w:t>
      </w:r>
      <w:bookmarkEnd w:id="0"/>
      <w:r>
        <w:rPr>
          <w:rFonts w:hint="eastAsia" w:ascii="仿宋_GB2312" w:hAnsi="仿宋_GB2312" w:eastAsia="仿宋_GB2312" w:cs="仿宋_GB2312"/>
          <w:b w:val="0"/>
          <w:bCs w:val="0"/>
          <w:color w:val="auto"/>
          <w:sz w:val="21"/>
          <w:szCs w:val="21"/>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val="en-US" w:eastAsia="zh-CN"/>
        </w:rPr>
        <w:t>本教材第4章、第7章、第9章全部内容及第1章第3、4、6、8、9、10、11节、第2章第4到6节、第3章第8节、第5章第2、5节、第6章第6节、第8章第4、5节考生可根据个人能力兴趣学习，不纳入考核范围。</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四、关于自学要求和自学方法的指导</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大纲的课程基本要求是依据专业考试计划和专业培养目标而确定的。课程基本要求还明确了课程的基本内容，以及对基本内容掌握的程度。基本要求中的知识点构成了课程内容的主体部分。因此，课程基本内容掌握程度、课程考核知识点是高等教育自学考试考核的主要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为有效地指导个人自学和社会助学，本大纲已指明了课程的重点和难点，在章节的基本要求中一般也指明了章节内容的重点和难点。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sz w:val="21"/>
          <w:szCs w:val="21"/>
        </w:rPr>
        <w:t>由于成人学习的个性化特点，建议业余自学时间不低于</w:t>
      </w:r>
      <w:r>
        <w:rPr>
          <w:rFonts w:hint="eastAsia" w:ascii="仿宋_GB2312" w:hAnsi="仿宋_GB2312" w:eastAsia="仿宋_GB2312" w:cs="仿宋_GB2312"/>
          <w:b w:val="0"/>
          <w:bCs w:val="0"/>
          <w:color w:val="auto"/>
          <w:sz w:val="21"/>
          <w:szCs w:val="21"/>
          <w:lang w:val="en-US" w:eastAsia="zh-CN"/>
        </w:rPr>
        <w:t>56</w:t>
      </w:r>
      <w:r>
        <w:rPr>
          <w:rFonts w:hint="eastAsia" w:ascii="仿宋_GB2312" w:hAnsi="仿宋_GB2312" w:eastAsia="仿宋_GB2312" w:cs="仿宋_GB2312"/>
          <w:b w:val="0"/>
          <w:bCs w:val="0"/>
          <w:sz w:val="21"/>
          <w:szCs w:val="21"/>
        </w:rPr>
        <w:t>个学时。</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建议学习本课程时注意以下几点：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1.在学习本课程教材之前，应先仔细阅读本大纲，了解本课程的性质和特点，熟知本课程的基本要求，在学习本课程时，能紧紧围绕本课程的基本要求。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2.在自学每一章的教材之前，先阅读本大纲中对应章节的学习目的与要求、考核知识点与考核要求，以使在自学时做到心中有数。</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把学习基本理论、基本知识与分析、解决实际问题结合起来。首先，要弄懂基本理论、基本原理、基本知识和基本方法；其次，要学习运用这些知识联系实际解决有关实际问题。重点是要深刻领会教材内容，将知识转化为能力，提高运用知识分析问题和解决问题的能力。</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4.学习数字图形界面艺术设计的目的是能够了解用户界面的典型设计规范和设计原则，为设计实践服务。</w:t>
      </w:r>
      <w:r>
        <w:rPr>
          <w:rFonts w:hint="eastAsia" w:ascii="仿宋_GB2312" w:hAnsi="仿宋_GB2312" w:eastAsia="仿宋_GB2312" w:cs="仿宋_GB2312"/>
          <w:b w:val="0"/>
          <w:bCs w:val="0"/>
          <w:sz w:val="21"/>
          <w:szCs w:val="21"/>
        </w:rPr>
        <w:t>因此理论学习的同时，需要联系书中所列举的一些典型案例，进行有针对性的设计分析，两者相结合，学以致用。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五</w:t>
      </w:r>
      <w:r>
        <w:rPr>
          <w:rFonts w:hint="eastAsia" w:ascii="仿宋_GB2312" w:hAnsi="仿宋_GB2312" w:eastAsia="仿宋_GB2312" w:cs="仿宋_GB2312"/>
          <w:b w:val="0"/>
          <w:bCs w:val="0"/>
          <w:sz w:val="21"/>
          <w:szCs w:val="21"/>
        </w:rPr>
        <w:t>、对社会助学的要求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对担任本课程自学助学的任课教师和自学助学单位提出以下几条基本要求。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1.熟知本课程考试大纲的各项要求，熟悉各章节的考核知识点。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2.辅导教学以大纲为依据，不要随意删减内容，以免偏离大纲。</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3.辅导还要注意突出重点，要帮助学生对课程内容建立一个整体的概念。</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4.助学者在辅导时应帮助自学者梳理重点内容和一般内容之间的关系，在他们全面掌握全部考试内容的基础上，深入了解界面设计的一般流程和规范，熟悉设计方法和技巧。</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建议学时如下：</w:t>
      </w:r>
    </w:p>
    <w:tbl>
      <w:tblPr>
        <w:tblStyle w:val="11"/>
        <w:tblW w:w="7960"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96"/>
        <w:gridCol w:w="4314"/>
        <w:gridCol w:w="20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1" w:hRule="atLeast"/>
        </w:trPr>
        <w:tc>
          <w:tcPr>
            <w:tcW w:w="1596"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章次</w:t>
            </w:r>
          </w:p>
        </w:tc>
        <w:tc>
          <w:tcPr>
            <w:tcW w:w="431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学习内容</w:t>
            </w:r>
          </w:p>
        </w:tc>
        <w:tc>
          <w:tcPr>
            <w:tcW w:w="2050"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建议学时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1" w:hRule="atLeast"/>
        </w:trPr>
        <w:tc>
          <w:tcPr>
            <w:tcW w:w="1596"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第1章</w:t>
            </w:r>
          </w:p>
        </w:tc>
        <w:tc>
          <w:tcPr>
            <w:tcW w:w="431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界面类型</w:t>
            </w:r>
          </w:p>
        </w:tc>
        <w:tc>
          <w:tcPr>
            <w:tcW w:w="2050"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lang w:val="en-US" w:eastAsia="zh-CN"/>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1" w:hRule="atLeast"/>
        </w:trPr>
        <w:tc>
          <w:tcPr>
            <w:tcW w:w="1596"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第2章</w:t>
            </w:r>
          </w:p>
        </w:tc>
        <w:tc>
          <w:tcPr>
            <w:tcW w:w="431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界面构图</w:t>
            </w:r>
          </w:p>
        </w:tc>
        <w:tc>
          <w:tcPr>
            <w:tcW w:w="2050"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lang w:val="en-US" w:eastAsia="zh-CN"/>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1" w:hRule="atLeast"/>
        </w:trPr>
        <w:tc>
          <w:tcPr>
            <w:tcW w:w="1596"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第3章</w:t>
            </w:r>
          </w:p>
        </w:tc>
        <w:tc>
          <w:tcPr>
            <w:tcW w:w="431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版面布局</w:t>
            </w:r>
          </w:p>
        </w:tc>
        <w:tc>
          <w:tcPr>
            <w:tcW w:w="2050"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lang w:val="en-US" w:eastAsia="zh-CN"/>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1" w:hRule="atLeast"/>
        </w:trPr>
        <w:tc>
          <w:tcPr>
            <w:tcW w:w="1596"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w:t>
            </w:r>
            <w:r>
              <w:rPr>
                <w:rFonts w:hint="eastAsia" w:ascii="仿宋_GB2312" w:hAnsi="仿宋_GB2312" w:eastAsia="仿宋_GB2312" w:cs="仿宋_GB2312"/>
                <w:b w:val="0"/>
                <w:bCs w:val="0"/>
                <w:color w:val="auto"/>
                <w:sz w:val="21"/>
                <w:szCs w:val="21"/>
                <w:lang w:val="en-US" w:eastAsia="zh-CN"/>
              </w:rPr>
              <w:t>4</w:t>
            </w:r>
            <w:r>
              <w:rPr>
                <w:rFonts w:hint="eastAsia" w:ascii="仿宋_GB2312" w:hAnsi="仿宋_GB2312" w:eastAsia="仿宋_GB2312" w:cs="仿宋_GB2312"/>
                <w:b w:val="0"/>
                <w:bCs w:val="0"/>
                <w:color w:val="auto"/>
                <w:sz w:val="21"/>
                <w:szCs w:val="21"/>
              </w:rPr>
              <w:t>章</w:t>
            </w:r>
          </w:p>
        </w:tc>
        <w:tc>
          <w:tcPr>
            <w:tcW w:w="431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default"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界面用色</w:t>
            </w:r>
          </w:p>
        </w:tc>
        <w:tc>
          <w:tcPr>
            <w:tcW w:w="2050"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lang w:val="en-US" w:eastAsia="zh-CN"/>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8" w:hRule="atLeast"/>
        </w:trPr>
        <w:tc>
          <w:tcPr>
            <w:tcW w:w="1596"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w:t>
            </w:r>
            <w:r>
              <w:rPr>
                <w:rFonts w:hint="eastAsia" w:ascii="仿宋_GB2312" w:hAnsi="仿宋_GB2312" w:eastAsia="仿宋_GB2312" w:cs="仿宋_GB2312"/>
                <w:b w:val="0"/>
                <w:bCs w:val="0"/>
                <w:color w:val="auto"/>
                <w:sz w:val="21"/>
                <w:szCs w:val="21"/>
                <w:lang w:val="en-US" w:eastAsia="zh-CN"/>
              </w:rPr>
              <w:t>5</w:t>
            </w:r>
            <w:r>
              <w:rPr>
                <w:rFonts w:hint="eastAsia" w:ascii="仿宋_GB2312" w:hAnsi="仿宋_GB2312" w:eastAsia="仿宋_GB2312" w:cs="仿宋_GB2312"/>
                <w:b w:val="0"/>
                <w:bCs w:val="0"/>
                <w:color w:val="auto"/>
                <w:sz w:val="21"/>
                <w:szCs w:val="21"/>
              </w:rPr>
              <w:t>章</w:t>
            </w:r>
          </w:p>
        </w:tc>
        <w:tc>
          <w:tcPr>
            <w:tcW w:w="431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设计原则</w:t>
            </w:r>
            <w:r>
              <w:rPr>
                <w:rFonts w:hint="eastAsia" w:ascii="仿宋_GB2312" w:hAnsi="仿宋_GB2312" w:eastAsia="仿宋_GB2312" w:cs="仿宋_GB2312"/>
                <w:b w:val="0"/>
                <w:bCs w:val="0"/>
                <w:color w:val="auto"/>
                <w:sz w:val="21"/>
                <w:szCs w:val="21"/>
                <w:lang w:val="en-US" w:eastAsia="zh-CN"/>
              </w:rPr>
              <w:t>与</w:t>
            </w:r>
            <w:r>
              <w:rPr>
                <w:rFonts w:hint="eastAsia" w:ascii="仿宋_GB2312" w:hAnsi="仿宋_GB2312" w:eastAsia="仿宋_GB2312" w:cs="仿宋_GB2312"/>
                <w:b w:val="0"/>
                <w:bCs w:val="0"/>
                <w:color w:val="auto"/>
                <w:sz w:val="21"/>
                <w:szCs w:val="21"/>
              </w:rPr>
              <w:t>规范</w:t>
            </w:r>
          </w:p>
        </w:tc>
        <w:tc>
          <w:tcPr>
            <w:tcW w:w="2050"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45" w:hRule="atLeast"/>
        </w:trPr>
        <w:tc>
          <w:tcPr>
            <w:tcW w:w="1596"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w:t>
            </w:r>
            <w:r>
              <w:rPr>
                <w:rFonts w:hint="eastAsia" w:ascii="仿宋_GB2312" w:hAnsi="仿宋_GB2312" w:eastAsia="仿宋_GB2312" w:cs="仿宋_GB2312"/>
                <w:b w:val="0"/>
                <w:bCs w:val="0"/>
                <w:color w:val="auto"/>
                <w:sz w:val="21"/>
                <w:szCs w:val="21"/>
                <w:lang w:val="en-US" w:eastAsia="zh-CN"/>
              </w:rPr>
              <w:t>6</w:t>
            </w:r>
            <w:r>
              <w:rPr>
                <w:rFonts w:hint="eastAsia" w:ascii="仿宋_GB2312" w:hAnsi="仿宋_GB2312" w:eastAsia="仿宋_GB2312" w:cs="仿宋_GB2312"/>
                <w:b w:val="0"/>
                <w:bCs w:val="0"/>
                <w:color w:val="auto"/>
                <w:sz w:val="21"/>
                <w:szCs w:val="21"/>
              </w:rPr>
              <w:t>章</w:t>
            </w:r>
          </w:p>
        </w:tc>
        <w:tc>
          <w:tcPr>
            <w:tcW w:w="431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图标设计</w:t>
            </w:r>
          </w:p>
        </w:tc>
        <w:tc>
          <w:tcPr>
            <w:tcW w:w="2050"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10</w:t>
            </w:r>
          </w:p>
        </w:tc>
      </w:tr>
    </w:tbl>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eastAsia="zh-CN"/>
        </w:rPr>
        <w:t>六</w:t>
      </w:r>
      <w:r>
        <w:rPr>
          <w:rFonts w:hint="eastAsia" w:ascii="仿宋_GB2312" w:hAnsi="仿宋_GB2312" w:eastAsia="仿宋_GB2312" w:cs="仿宋_GB2312"/>
          <w:b w:val="0"/>
          <w:bCs w:val="0"/>
          <w:sz w:val="21"/>
          <w:szCs w:val="21"/>
        </w:rPr>
        <w:t>、对考核内容的说明</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 本课程要求考生学习和掌握的知识点内容都作为考核的内容。课程中各章的内容均由若干知识点组成，在自学考试中成为考核知识点。因此，课程自学考试大纲中所规定的考试内容是以分解为考核知识点的方式给出的。由于各知识点在课程中的地位、作用以及知识自身的特点不同，自学考试将对各知识点分别按</w:t>
      </w:r>
      <w:r>
        <w:rPr>
          <w:rFonts w:hint="eastAsia" w:ascii="仿宋_GB2312" w:hAnsi="仿宋_GB2312" w:eastAsia="仿宋_GB2312" w:cs="仿宋_GB2312"/>
          <w:b w:val="0"/>
          <w:bCs w:val="0"/>
          <w:sz w:val="21"/>
          <w:szCs w:val="21"/>
          <w:lang w:val="en-US" w:eastAsia="zh-CN"/>
        </w:rPr>
        <w:t>三</w:t>
      </w:r>
      <w:r>
        <w:rPr>
          <w:rFonts w:hint="eastAsia" w:ascii="仿宋_GB2312" w:hAnsi="仿宋_GB2312" w:eastAsia="仿宋_GB2312" w:cs="仿宋_GB2312"/>
          <w:b w:val="0"/>
          <w:bCs w:val="0"/>
          <w:sz w:val="21"/>
          <w:szCs w:val="21"/>
        </w:rPr>
        <w:t>个认知层次确定其考核要求。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 在考试之日起6个月前，由全国人民代表大会和国务院颁布或修订的法律、法规都将列入相应课程的考试范围。凡大纲、教材内容与现行法律、法规不符的，应以现行法律法规为准。命题时也会对我国经济建设和科技文化发展的重大方针政策的变化予以体现。</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eastAsia="zh-CN"/>
        </w:rPr>
        <w:t>七</w:t>
      </w:r>
      <w:r>
        <w:rPr>
          <w:rFonts w:hint="eastAsia" w:ascii="仿宋_GB2312" w:hAnsi="仿宋_GB2312" w:eastAsia="仿宋_GB2312" w:cs="仿宋_GB2312"/>
          <w:b w:val="0"/>
          <w:bCs w:val="0"/>
          <w:sz w:val="21"/>
          <w:szCs w:val="21"/>
        </w:rPr>
        <w:t>、关于考试命题的若干规定</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sz w:val="21"/>
          <w:szCs w:val="21"/>
        </w:rPr>
        <w:t>1.本课程考试采用闭卷笔试方式考核，考试时间150分钟</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lang w:val="en-US" w:eastAsia="zh-CN"/>
        </w:rPr>
        <w:t>满分100分,60分及格</w:t>
      </w:r>
      <w:r>
        <w:rPr>
          <w:rFonts w:hint="eastAsia" w:ascii="仿宋_GB2312" w:hAnsi="仿宋_GB2312" w:eastAsia="仿宋_GB2312" w:cs="仿宋_GB2312"/>
          <w:b w:val="0"/>
          <w:bCs w:val="0"/>
          <w:sz w:val="21"/>
          <w:szCs w:val="21"/>
        </w:rPr>
        <w:t>。考试时只允许携带笔，答题必须使用蓝色或黑色钢笔或签字笔书写。</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2.本大纲各章所规定的基本要求、知识点及知识点下的知识细目，都属于考核的内容。考试命题既要覆盖到章，又要避免面面俱到。要注意突出课程的重点、章节重点，加大重点内容的覆盖度。</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不应命制超出大纲中考核知识点范围的题目，考核目标不得高于大纲中所规定的相应的最高能力层次要求。命题应着重考核自学者对基本概念、基本知识和基本理论是否了解或掌握，对基本方法是否会用或熟练。不应命制与基本要求不符的偏题或怪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4.本课程在试卷中对不同能力层次要求的分数比例大致为：识记占</w:t>
      </w:r>
      <w:r>
        <w:rPr>
          <w:rFonts w:hint="eastAsia" w:ascii="仿宋_GB2312" w:hAnsi="仿宋_GB2312" w:eastAsia="仿宋_GB2312" w:cs="仿宋_GB2312"/>
          <w:b w:val="0"/>
          <w:bCs w:val="0"/>
          <w:sz w:val="21"/>
          <w:szCs w:val="21"/>
          <w:lang w:val="en-US" w:eastAsia="zh-CN"/>
        </w:rPr>
        <w:t>30</w:t>
      </w:r>
      <w:r>
        <w:rPr>
          <w:rFonts w:hint="eastAsia" w:ascii="仿宋_GB2312" w:hAnsi="仿宋_GB2312" w:eastAsia="仿宋_GB2312" w:cs="仿宋_GB2312"/>
          <w:b w:val="0"/>
          <w:bCs w:val="0"/>
          <w:sz w:val="21"/>
          <w:szCs w:val="21"/>
        </w:rPr>
        <w:t>%，领会占30%，应用占</w:t>
      </w:r>
      <w:r>
        <w:rPr>
          <w:rFonts w:hint="eastAsia" w:ascii="仿宋_GB2312" w:hAnsi="仿宋_GB2312" w:eastAsia="仿宋_GB2312" w:cs="仿宋_GB2312"/>
          <w:b w:val="0"/>
          <w:bCs w:val="0"/>
          <w:sz w:val="21"/>
          <w:szCs w:val="21"/>
          <w:lang w:val="en-US" w:eastAsia="zh-CN"/>
        </w:rPr>
        <w:t>4</w:t>
      </w:r>
      <w:r>
        <w:rPr>
          <w:rFonts w:hint="eastAsia" w:ascii="仿宋_GB2312" w:hAnsi="仿宋_GB2312" w:eastAsia="仿宋_GB2312" w:cs="仿宋_GB2312"/>
          <w:b w:val="0"/>
          <w:bCs w:val="0"/>
          <w:sz w:val="21"/>
          <w:szCs w:val="21"/>
        </w:rPr>
        <w:t>0%。</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5.要合理安排试题的难易程度，试题的难度可分为：易、较易、较难和难四个等级。每份试卷中不同难度试题的分数比例一般为：2:3:3:2。</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必须注意试题的难易程度与能力层次有一定的联系，但两者不是等同的概念，在各个能力层次都有不同难度的试题。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6.各种题型的具体样式参见本大纲附录。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lang w:val="en-US" w:eastAsia="zh-CN"/>
        </w:rPr>
        <w:t xml:space="preserve">附录 </w:t>
      </w:r>
      <w:r>
        <w:rPr>
          <w:rFonts w:hint="eastAsia" w:ascii="仿宋_GB2312" w:hAnsi="仿宋_GB2312" w:eastAsia="仿宋_GB2312" w:cs="仿宋_GB2312"/>
          <w:b/>
          <w:bCs/>
          <w:sz w:val="21"/>
          <w:szCs w:val="21"/>
        </w:rPr>
        <w:t>题型举例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一、单项选择题（在每小题后的4个备选项中只有一个是符合题目要求的，请将其选出并填写在题后的括号内）</w:t>
      </w:r>
    </w:p>
    <w:p>
      <w:pPr>
        <w:keepNext w:val="0"/>
        <w:keepLines w:val="0"/>
        <w:pageBreakBefore w:val="0"/>
        <w:widowControl w:val="0"/>
        <w:numPr>
          <w:ilvl w:val="0"/>
          <w:numId w:val="4"/>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Ios的设计原则不包括哪一项</w:t>
      </w:r>
      <w:r>
        <w:rPr>
          <w:rFonts w:hint="eastAsia" w:ascii="仿宋_GB2312" w:hAnsi="仿宋_GB2312" w:eastAsia="仿宋_GB2312" w:cs="仿宋_GB2312"/>
          <w:b w:val="0"/>
          <w:bCs w:val="0"/>
          <w:color w:val="auto"/>
          <w:sz w:val="21"/>
          <w:szCs w:val="21"/>
          <w:lang w:eastAsia="zh-CN"/>
        </w:rPr>
        <w:t>（</w:t>
      </w:r>
      <w:r>
        <w:rPr>
          <w:rFonts w:hint="eastAsia" w:ascii="仿宋_GB2312" w:hAnsi="仿宋_GB2312" w:eastAsia="仿宋_GB2312" w:cs="仿宋_GB2312"/>
          <w:b w:val="0"/>
          <w:bCs w:val="0"/>
          <w:color w:val="auto"/>
          <w:sz w:val="21"/>
          <w:szCs w:val="21"/>
          <w:lang w:val="en-US" w:eastAsia="zh-CN"/>
        </w:rPr>
        <w:t xml:space="preserve">   </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numPr>
          <w:ilvl w:val="0"/>
          <w:numId w:val="5"/>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 xml:space="preserve">凸显内容原则  </w:t>
      </w:r>
      <w:r>
        <w:rPr>
          <w:rFonts w:hint="eastAsia" w:ascii="仿宋_GB2312" w:hAnsi="仿宋_GB2312" w:eastAsia="仿宋_GB2312" w:cs="仿宋_GB2312"/>
          <w:b w:val="0"/>
          <w:bCs w:val="0"/>
          <w:color w:val="auto"/>
          <w:sz w:val="21"/>
          <w:szCs w:val="21"/>
          <w:lang w:val="en-US" w:eastAsia="zh-CN"/>
        </w:rPr>
        <w:t xml:space="preserve"> </w:t>
      </w:r>
      <w:r>
        <w:rPr>
          <w:rFonts w:hint="eastAsia" w:ascii="仿宋_GB2312" w:hAnsi="仿宋_GB2312" w:eastAsia="仿宋_GB2312" w:cs="仿宋_GB2312"/>
          <w:b w:val="0"/>
          <w:bCs w:val="0"/>
          <w:color w:val="auto"/>
          <w:sz w:val="21"/>
          <w:szCs w:val="21"/>
        </w:rPr>
        <w:t xml:space="preserve"> B.统一化原则</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 xml:space="preserve">C.层级性原则     </w:t>
      </w:r>
      <w:r>
        <w:rPr>
          <w:rFonts w:hint="eastAsia" w:ascii="仿宋_GB2312" w:hAnsi="仿宋_GB2312" w:eastAsia="仿宋_GB2312" w:cs="仿宋_GB2312"/>
          <w:b w:val="0"/>
          <w:bCs w:val="0"/>
          <w:color w:val="auto"/>
          <w:sz w:val="21"/>
          <w:szCs w:val="21"/>
          <w:lang w:val="en-US" w:eastAsia="zh-CN"/>
        </w:rPr>
        <w:t xml:space="preserve">  </w:t>
      </w:r>
      <w:r>
        <w:rPr>
          <w:rFonts w:hint="eastAsia" w:ascii="仿宋_GB2312" w:hAnsi="仿宋_GB2312" w:eastAsia="仿宋_GB2312" w:cs="仿宋_GB2312"/>
          <w:b w:val="0"/>
          <w:bCs w:val="0"/>
          <w:color w:val="auto"/>
          <w:sz w:val="21"/>
          <w:szCs w:val="21"/>
        </w:rPr>
        <w:t>D.个性化原则</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sz w:val="21"/>
          <w:szCs w:val="21"/>
          <w:lang w:eastAsia="zh-CN"/>
        </w:rPr>
        <w:t>二</w:t>
      </w:r>
      <w:r>
        <w:rPr>
          <w:rFonts w:hint="eastAsia" w:ascii="仿宋_GB2312" w:hAnsi="仿宋_GB2312" w:eastAsia="仿宋_GB2312" w:cs="仿宋_GB2312"/>
          <w:b w:val="0"/>
          <w:bCs w:val="0"/>
          <w:color w:val="auto"/>
          <w:sz w:val="21"/>
          <w:szCs w:val="21"/>
        </w:rPr>
        <w:t>、名词解释题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 九宫格构图</w:t>
      </w:r>
    </w:p>
    <w:p>
      <w:pPr>
        <w:keepNext w:val="0"/>
        <w:keepLines w:val="0"/>
        <w:pageBreakBefore w:val="0"/>
        <w:widowControl w:val="0"/>
        <w:kinsoku/>
        <w:wordWrap/>
        <w:overflowPunct/>
        <w:topLinePunct w:val="0"/>
        <w:autoSpaceDE/>
        <w:autoSpaceDN/>
        <w:bidi w:val="0"/>
        <w:snapToGrid w:val="0"/>
        <w:spacing w:line="240" w:lineRule="auto"/>
        <w:ind w:left="44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sz w:val="21"/>
          <w:szCs w:val="21"/>
          <w:lang w:eastAsia="zh-CN"/>
        </w:rPr>
        <w:t>三</w:t>
      </w:r>
      <w:r>
        <w:rPr>
          <w:rFonts w:hint="eastAsia" w:ascii="仿宋_GB2312" w:hAnsi="仿宋_GB2312" w:eastAsia="仿宋_GB2312" w:cs="仿宋_GB2312"/>
          <w:b w:val="0"/>
          <w:bCs w:val="0"/>
          <w:color w:val="auto"/>
          <w:sz w:val="21"/>
          <w:szCs w:val="21"/>
        </w:rPr>
        <w:t>、简答题</w:t>
      </w:r>
    </w:p>
    <w:p>
      <w:pPr>
        <w:keepNext w:val="0"/>
        <w:keepLines w:val="0"/>
        <w:pageBreakBefore w:val="0"/>
        <w:widowControl w:val="0"/>
        <w:kinsoku/>
        <w:wordWrap/>
        <w:overflowPunct/>
        <w:topLinePunct w:val="0"/>
        <w:autoSpaceDE/>
        <w:autoSpaceDN/>
        <w:bidi w:val="0"/>
        <w:snapToGrid w:val="0"/>
        <w:spacing w:line="240" w:lineRule="auto"/>
        <w:ind w:left="440" w:right="0" w:rightChars="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1.简述android的设计规范</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44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sz w:val="21"/>
          <w:szCs w:val="21"/>
          <w:lang w:eastAsia="zh-CN"/>
        </w:rPr>
        <w:t>四</w:t>
      </w:r>
      <w:r>
        <w:rPr>
          <w:rFonts w:hint="eastAsia" w:ascii="仿宋_GB2312" w:hAnsi="仿宋_GB2312" w:eastAsia="仿宋_GB2312" w:cs="仿宋_GB2312"/>
          <w:b w:val="0"/>
          <w:bCs w:val="0"/>
          <w:color w:val="auto"/>
          <w:sz w:val="21"/>
          <w:szCs w:val="21"/>
        </w:rPr>
        <w:t>、</w:t>
      </w:r>
      <w:r>
        <w:rPr>
          <w:rFonts w:hint="eastAsia" w:ascii="仿宋_GB2312" w:hAnsi="仿宋_GB2312" w:eastAsia="仿宋_GB2312" w:cs="仿宋_GB2312"/>
          <w:b w:val="0"/>
          <w:bCs w:val="0"/>
          <w:sz w:val="21"/>
          <w:szCs w:val="21"/>
        </w:rPr>
        <w:t>论述题</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rPr>
        <w:t xml:space="preserve">    </w:t>
      </w:r>
      <w:r>
        <w:rPr>
          <w:rFonts w:hint="eastAsia" w:ascii="仿宋_GB2312" w:hAnsi="仿宋_GB2312" w:eastAsia="仿宋_GB2312" w:cs="仿宋_GB2312"/>
          <w:b w:val="0"/>
          <w:bCs w:val="0"/>
          <w:sz w:val="21"/>
          <w:szCs w:val="21"/>
        </w:rPr>
        <w:t>1</w:t>
      </w:r>
      <w:r>
        <w:rPr>
          <w:rFonts w:hint="eastAsia" w:ascii="仿宋_GB2312" w:hAnsi="仿宋_GB2312" w:eastAsia="仿宋_GB2312" w:cs="仿宋_GB2312"/>
          <w:b w:val="0"/>
          <w:bCs w:val="0"/>
          <w:sz w:val="21"/>
          <w:szCs w:val="21"/>
          <w:lang w:val="en-US" w:eastAsia="zh-CN"/>
        </w:rPr>
        <w:t>.</w:t>
      </w:r>
      <w:r>
        <w:rPr>
          <w:rFonts w:hint="eastAsia" w:ascii="仿宋_GB2312" w:hAnsi="仿宋_GB2312" w:eastAsia="仿宋_GB2312" w:cs="仿宋_GB2312"/>
          <w:b w:val="0"/>
          <w:bCs w:val="0"/>
          <w:sz w:val="21"/>
          <w:szCs w:val="21"/>
        </w:rPr>
        <w:t>论述设计一个登陆页面需要的主要步骤</w:t>
      </w:r>
      <w:r>
        <w:rPr>
          <w:rFonts w:hint="eastAsia" w:ascii="仿宋_GB2312" w:hAnsi="仿宋_GB2312" w:eastAsia="仿宋_GB2312" w:cs="仿宋_GB2312"/>
          <w:b w:val="0"/>
          <w:bCs w:val="0"/>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200247B" w:usb2="00000009" w:usb3="00000000" w:csb0="200001FF" w:csb1="00000000"/>
  </w:font>
  <w:font w:name="Arial Unicode MS">
    <w:altName w:val="宋体"/>
    <w:panose1 w:val="020B0604020202020204"/>
    <w:charset w:val="86"/>
    <w:family w:val="roman"/>
    <w:pitch w:val="default"/>
    <w:sig w:usb0="00000000" w:usb1="00000000" w:usb2="0000003F" w:usb3="00000000" w:csb0="603F01FF" w:csb1="FFFF0000"/>
  </w:font>
  <w:font w:name="仿宋_GB2312">
    <w:panose1 w:val="02010609030101010101"/>
    <w:charset w:val="86"/>
    <w:family w:val="modern"/>
    <w:pitch w:val="default"/>
    <w:sig w:usb0="00000001" w:usb1="080E0000" w:usb2="00000000" w:usb3="00000000" w:csb0="00040000" w:csb1="00000000"/>
  </w:font>
  <w:font w:name="Microsoft JhengHei">
    <w:panose1 w:val="020B0604030504040204"/>
    <w:charset w:val="88"/>
    <w:family w:val="swiss"/>
    <w:pitch w:val="default"/>
    <w:sig w:usb0="000002A7" w:usb1="28CF4400" w:usb2="00000016" w:usb3="00000000" w:csb0="00100009" w:csb1="00000000"/>
  </w:font>
  <w:font w:name="Courier New">
    <w:panose1 w:val="02070309020205020404"/>
    <w:charset w:val="00"/>
    <w:family w:val="modern"/>
    <w:pitch w:val="default"/>
    <w:sig w:usb0="E0002EFF" w:usb1="C0007843" w:usb2="00000009" w:usb3="00000000" w:csb0="400001FF" w:csb1="FFFF0000"/>
  </w:font>
  <w:font w:name="Arial Unicode MS">
    <w:altName w:val="Arial"/>
    <w:panose1 w:val="020B0604020202020204"/>
    <w:charset w:val="00"/>
    <w:family w:val="roman"/>
    <w:pitch w:val="default"/>
    <w:sig w:usb0="00000000" w:usb1="00000000" w:usb2="00000000" w:usb3="00000000" w:csb0="00000001" w:csb1="00000000"/>
  </w:font>
  <w:font w:name="等线">
    <w:panose1 w:val="02010600030101010101"/>
    <w:charset w:val="86"/>
    <w:family w:val="auto"/>
    <w:pitch w:val="default"/>
    <w:sig w:usb0="A00002BF" w:usb1="38CF7CFA" w:usb2="00000016" w:usb3="00000000" w:csb0="0004000F" w:csb1="00000000"/>
  </w:font>
  <w:font w:name="Arial Unicode MS">
    <w:altName w:val="Arial"/>
    <w:panose1 w:val="020B0604020202020204"/>
    <w:charset w:val="80"/>
    <w:family w:val="swiss"/>
    <w:pitch w:val="default"/>
    <w:sig w:usb0="00000000" w:usb1="00000000" w:usb2="0000003F" w:usb3="00000000" w:csb0="603F01FF" w:csb1="FFFF0000"/>
  </w:font>
  <w:font w:name="等线 Light">
    <w:panose1 w:val="02010600030101010101"/>
    <w:charset w:val="86"/>
    <w:family w:val="auto"/>
    <w:pitch w:val="default"/>
    <w:sig w:usb0="A00002BF" w:usb1="38CF7CFA" w:usb2="00000016" w:usb3="00000000" w:csb0="0004000F" w:csb1="00000000"/>
  </w:font>
  <w:font w:name="楷体_GB2312">
    <w:altName w:val="楷体"/>
    <w:panose1 w:val="020B0604020202020204"/>
    <w:charset w:val="86"/>
    <w:family w:val="modern"/>
    <w:pitch w:val="default"/>
    <w:sig w:usb0="00000000" w:usb1="00000000" w:usb2="00000010" w:usb3="00000000" w:csb0="00040001" w:csb1="00000000"/>
  </w:font>
  <w:font w:name="Arial">
    <w:panose1 w:val="020B0604020202020204"/>
    <w:charset w:val="00"/>
    <w:family w:val="swiss"/>
    <w:pitch w:val="default"/>
    <w:sig w:usb0="E0002EFF" w:usb1="C000785B" w:usb2="00000009" w:usb3="00000000" w:csb0="400001FF" w:csb1="FFFF0000"/>
  </w:font>
  <w:font w:name="楷体">
    <w:panose1 w:val="02010609060101010101"/>
    <w:charset w:val="86"/>
    <w:family w:val="auto"/>
    <w:pitch w:val="default"/>
    <w:sig w:usb0="800002BF" w:usb1="38CF7CFA" w:usb2="00000016" w:usb3="00000000" w:csb0="00040001" w:csb1="00000000"/>
  </w:font>
  <w:font w:name="Arial">
    <w:panose1 w:val="020B0604020202020204"/>
    <w:charset w:val="80"/>
    <w:family w:val="swiss"/>
    <w:pitch w:val="default"/>
    <w:sig w:usb0="E0002EFF" w:usb1="C000785B" w:usb2="00000009" w:usb3="00000000" w:csb0="400001FF" w:csb1="FFFF0000"/>
  </w:font>
  <w:font w:name="楷体_GB2312">
    <w:altName w:val="楷体"/>
    <w:panose1 w:val="00000000000000000000"/>
    <w:charset w:val="00"/>
    <w:family w:val="auto"/>
    <w:pitch w:val="default"/>
    <w:sig w:usb0="00000000" w:usb1="00000000" w:usb2="00000000" w:usb3="00000000" w:csb0="00000000" w:csb1="00000000"/>
  </w:font>
  <w:font w:name="Helvetica">
    <w:altName w:val="Arial"/>
    <w:panose1 w:val="020B0604020202020204"/>
    <w:charset w:val="00"/>
    <w:family w:val="swiss"/>
    <w:pitch w:val="default"/>
    <w:sig w:usb0="00000000" w:usb1="00000000" w:usb2="00000009" w:usb3="00000000" w:csb0="0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8F4D3F2"/>
    <w:multiLevelType w:val="singleLevel"/>
    <w:tmpl w:val="88F4D3F2"/>
    <w:lvl w:ilvl="0" w:tentative="0">
      <w:start w:val="3"/>
      <w:numFmt w:val="chineseCounting"/>
      <w:suff w:val="nothing"/>
      <w:lvlText w:val="%1、"/>
      <w:lvlJc w:val="left"/>
      <w:pPr>
        <w:ind w:left="440" w:firstLine="0"/>
      </w:pPr>
      <w:rPr>
        <w:rFonts w:hint="eastAsia"/>
      </w:rPr>
    </w:lvl>
  </w:abstractNum>
  <w:abstractNum w:abstractNumId="1">
    <w:nsid w:val="1D088F3E"/>
    <w:multiLevelType w:val="singleLevel"/>
    <w:tmpl w:val="1D088F3E"/>
    <w:lvl w:ilvl="0" w:tentative="0">
      <w:start w:val="1"/>
      <w:numFmt w:val="upperLetter"/>
      <w:lvlText w:val="%1."/>
      <w:lvlJc w:val="left"/>
      <w:pPr>
        <w:tabs>
          <w:tab w:val="left" w:pos="312"/>
        </w:tabs>
      </w:pPr>
    </w:lvl>
  </w:abstractNum>
  <w:abstractNum w:abstractNumId="2">
    <w:nsid w:val="39544149"/>
    <w:multiLevelType w:val="singleLevel"/>
    <w:tmpl w:val="39544149"/>
    <w:lvl w:ilvl="0" w:tentative="0">
      <w:start w:val="1"/>
      <w:numFmt w:val="chineseCounting"/>
      <w:suff w:val="space"/>
      <w:lvlText w:val="第%1章"/>
      <w:lvlJc w:val="left"/>
      <w:rPr>
        <w:rFonts w:hint="eastAsia"/>
      </w:rPr>
    </w:lvl>
  </w:abstractNum>
  <w:abstractNum w:abstractNumId="3">
    <w:nsid w:val="3F410D9A"/>
    <w:multiLevelType w:val="singleLevel"/>
    <w:tmpl w:val="3F410D9A"/>
    <w:lvl w:ilvl="0" w:tentative="0">
      <w:start w:val="2"/>
      <w:numFmt w:val="chineseCounting"/>
      <w:suff w:val="nothing"/>
      <w:lvlText w:val="%1、"/>
      <w:lvlJc w:val="left"/>
      <w:rPr>
        <w:rFonts w:hint="eastAsia"/>
      </w:rPr>
    </w:lvl>
  </w:abstractNum>
  <w:abstractNum w:abstractNumId="4">
    <w:nsid w:val="4C7556F9"/>
    <w:multiLevelType w:val="singleLevel"/>
    <w:tmpl w:val="4C7556F9"/>
    <w:lvl w:ilvl="0" w:tentative="0">
      <w:start w:val="1"/>
      <w:numFmt w:val="decimal"/>
      <w:lvlText w:val="%1."/>
      <w:lvlJc w:val="left"/>
      <w:pPr>
        <w:tabs>
          <w:tab w:val="left" w:pos="312"/>
        </w:tabs>
      </w:pPr>
      <w:rPr>
        <w:rFonts w:hint="default"/>
        <w:color w:val="auto"/>
      </w:r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IzNjhjZjkxMjg2OGJjOTQ0NThhNzBhOGI4YTVmYWYifQ=="/>
  </w:docVars>
  <w:rsids>
    <w:rsidRoot w:val="003F68B5"/>
    <w:rsid w:val="000E38E6"/>
    <w:rsid w:val="001344A6"/>
    <w:rsid w:val="00157CF9"/>
    <w:rsid w:val="002B15B4"/>
    <w:rsid w:val="003C67CA"/>
    <w:rsid w:val="003F68B5"/>
    <w:rsid w:val="0040247D"/>
    <w:rsid w:val="00425DB4"/>
    <w:rsid w:val="004B6F21"/>
    <w:rsid w:val="004C6B62"/>
    <w:rsid w:val="006921C4"/>
    <w:rsid w:val="00722434"/>
    <w:rsid w:val="007A36BD"/>
    <w:rsid w:val="007B24C9"/>
    <w:rsid w:val="00856D0C"/>
    <w:rsid w:val="008907DB"/>
    <w:rsid w:val="008B1031"/>
    <w:rsid w:val="008B5BF4"/>
    <w:rsid w:val="008C7B48"/>
    <w:rsid w:val="00901ECD"/>
    <w:rsid w:val="00946FEA"/>
    <w:rsid w:val="009D246B"/>
    <w:rsid w:val="009D4694"/>
    <w:rsid w:val="009E7DFD"/>
    <w:rsid w:val="00AE0EE0"/>
    <w:rsid w:val="00AE71C4"/>
    <w:rsid w:val="00CC34EC"/>
    <w:rsid w:val="00D84538"/>
    <w:rsid w:val="00DE3927"/>
    <w:rsid w:val="00DE5D06"/>
    <w:rsid w:val="00E83C13"/>
    <w:rsid w:val="00E9796C"/>
    <w:rsid w:val="00EA5F01"/>
    <w:rsid w:val="00F16EA6"/>
    <w:rsid w:val="00F50B69"/>
    <w:rsid w:val="00F932FF"/>
    <w:rsid w:val="016025FC"/>
    <w:rsid w:val="019D2150"/>
    <w:rsid w:val="01F21291"/>
    <w:rsid w:val="02691984"/>
    <w:rsid w:val="03577DA5"/>
    <w:rsid w:val="03E56DE9"/>
    <w:rsid w:val="03F86B1C"/>
    <w:rsid w:val="06712BB6"/>
    <w:rsid w:val="068B503A"/>
    <w:rsid w:val="0884385E"/>
    <w:rsid w:val="097E3F67"/>
    <w:rsid w:val="0AFD1558"/>
    <w:rsid w:val="0B204BAA"/>
    <w:rsid w:val="0E5E6115"/>
    <w:rsid w:val="0F957915"/>
    <w:rsid w:val="0FCD5301"/>
    <w:rsid w:val="1170719A"/>
    <w:rsid w:val="11916802"/>
    <w:rsid w:val="13632E3B"/>
    <w:rsid w:val="14F83E5A"/>
    <w:rsid w:val="1695469E"/>
    <w:rsid w:val="17566525"/>
    <w:rsid w:val="17D13AF8"/>
    <w:rsid w:val="19876DE5"/>
    <w:rsid w:val="1B2E6E70"/>
    <w:rsid w:val="1C577F5D"/>
    <w:rsid w:val="1D7E5E8C"/>
    <w:rsid w:val="1DCF04F4"/>
    <w:rsid w:val="1DF27B5F"/>
    <w:rsid w:val="216E7FC6"/>
    <w:rsid w:val="2419690F"/>
    <w:rsid w:val="26B40B71"/>
    <w:rsid w:val="275A1718"/>
    <w:rsid w:val="290C6955"/>
    <w:rsid w:val="2B522706"/>
    <w:rsid w:val="2B6F5509"/>
    <w:rsid w:val="2DFB52D7"/>
    <w:rsid w:val="2F827A5E"/>
    <w:rsid w:val="31232B7B"/>
    <w:rsid w:val="3159738D"/>
    <w:rsid w:val="330E1D9C"/>
    <w:rsid w:val="35156C7E"/>
    <w:rsid w:val="354A647F"/>
    <w:rsid w:val="35555B77"/>
    <w:rsid w:val="39400042"/>
    <w:rsid w:val="3A262A94"/>
    <w:rsid w:val="3A4C6B82"/>
    <w:rsid w:val="3CB87C50"/>
    <w:rsid w:val="3EEB0A50"/>
    <w:rsid w:val="410D73A4"/>
    <w:rsid w:val="413466DE"/>
    <w:rsid w:val="41C9151C"/>
    <w:rsid w:val="43B53622"/>
    <w:rsid w:val="4473751E"/>
    <w:rsid w:val="45CE4D82"/>
    <w:rsid w:val="45E643AF"/>
    <w:rsid w:val="46503FBA"/>
    <w:rsid w:val="46AA4DDB"/>
    <w:rsid w:val="49261002"/>
    <w:rsid w:val="49311755"/>
    <w:rsid w:val="4AC62A9D"/>
    <w:rsid w:val="4BBC17AA"/>
    <w:rsid w:val="4C910E89"/>
    <w:rsid w:val="4E772300"/>
    <w:rsid w:val="4F9A0054"/>
    <w:rsid w:val="508605D9"/>
    <w:rsid w:val="51F13D67"/>
    <w:rsid w:val="52A8038D"/>
    <w:rsid w:val="52B23907"/>
    <w:rsid w:val="52CD24EF"/>
    <w:rsid w:val="52F85C23"/>
    <w:rsid w:val="54613836"/>
    <w:rsid w:val="550A5C7C"/>
    <w:rsid w:val="56DB78D0"/>
    <w:rsid w:val="579B14B0"/>
    <w:rsid w:val="581A550C"/>
    <w:rsid w:val="583B7EFB"/>
    <w:rsid w:val="591F781C"/>
    <w:rsid w:val="5AEB3E5A"/>
    <w:rsid w:val="5B6A1223"/>
    <w:rsid w:val="5D027239"/>
    <w:rsid w:val="5E612814"/>
    <w:rsid w:val="5E9C0279"/>
    <w:rsid w:val="5F9C5723"/>
    <w:rsid w:val="619D21E2"/>
    <w:rsid w:val="61B04E50"/>
    <w:rsid w:val="621D2556"/>
    <w:rsid w:val="62AE1C60"/>
    <w:rsid w:val="69807E63"/>
    <w:rsid w:val="6D543AE1"/>
    <w:rsid w:val="6E5A6ED5"/>
    <w:rsid w:val="70374DA7"/>
    <w:rsid w:val="710D5A77"/>
    <w:rsid w:val="75355CC4"/>
    <w:rsid w:val="76200A04"/>
    <w:rsid w:val="76921B48"/>
    <w:rsid w:val="774F3472"/>
    <w:rsid w:val="77F44FBD"/>
    <w:rsid w:val="77FA5285"/>
    <w:rsid w:val="7A0E5017"/>
    <w:rsid w:val="7BE97AEA"/>
    <w:rsid w:val="7D257E1F"/>
    <w:rsid w:val="7E374B3D"/>
    <w:rsid w:val="7E417769"/>
    <w:rsid w:val="7EEF3669"/>
    <w:rsid w:val="7F2A46A1"/>
    <w:rsid w:val="7F78540D"/>
    <w:rsid w:val="7FBD045A"/>
    <w:rsid w:val="7FCB7C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unhideWhenUsed/>
    <w:qFormat/>
    <w:uiPriority w:val="1"/>
  </w:style>
  <w:style w:type="table" w:default="1" w:styleId="10">
    <w:name w:val="Normal Table"/>
    <w:unhideWhenUsed/>
    <w:qFormat/>
    <w:uiPriority w:val="99"/>
    <w:tblPr>
      <w:tblLayout w:type="fixed"/>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ody Text Indent"/>
    <w:basedOn w:val="1"/>
    <w:qFormat/>
    <w:uiPriority w:val="0"/>
    <w:pPr>
      <w:spacing w:after="120"/>
      <w:ind w:left="420" w:leftChars="200"/>
    </w:pPr>
  </w:style>
  <w:style w:type="paragraph" w:styleId="4">
    <w:name w:val="Balloon Text"/>
    <w:basedOn w:val="1"/>
    <w:link w:val="15"/>
    <w:qFormat/>
    <w:uiPriority w:val="0"/>
    <w:rPr>
      <w:sz w:val="18"/>
      <w:szCs w:val="18"/>
    </w:rPr>
  </w:style>
  <w:style w:type="paragraph" w:styleId="5">
    <w:name w:val="footer"/>
    <w:basedOn w:val="1"/>
    <w:link w:val="13"/>
    <w:qFormat/>
    <w:uiPriority w:val="0"/>
    <w:pPr>
      <w:tabs>
        <w:tab w:val="center" w:pos="4153"/>
        <w:tab w:val="right" w:pos="8306"/>
      </w:tabs>
      <w:snapToGrid w:val="0"/>
      <w:jc w:val="left"/>
    </w:pPr>
    <w:rPr>
      <w:sz w:val="18"/>
      <w:szCs w:val="18"/>
    </w:rPr>
  </w:style>
  <w:style w:type="paragraph" w:styleId="6">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99"/>
    <w:pPr>
      <w:widowControl/>
      <w:spacing w:before="100" w:beforeAutospacing="1" w:after="100" w:afterAutospacing="1"/>
      <w:jc w:val="left"/>
    </w:pPr>
    <w:rPr>
      <w:rFonts w:ascii="Arial Unicode MS" w:hAnsi="Arial Unicode MS" w:eastAsia="Arial Unicode MS" w:cs="Arial Unicode MS"/>
      <w:color w:val="000000"/>
      <w:kern w:val="0"/>
      <w:sz w:val="24"/>
    </w:rPr>
  </w:style>
  <w:style w:type="character" w:styleId="9">
    <w:name w:val="annotation reference"/>
    <w:basedOn w:val="8"/>
    <w:qFormat/>
    <w:uiPriority w:val="0"/>
    <w:rPr>
      <w:sz w:val="21"/>
      <w:szCs w:val="21"/>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12">
    <w:name w:val="页眉 字符"/>
    <w:basedOn w:val="8"/>
    <w:link w:val="6"/>
    <w:qFormat/>
    <w:uiPriority w:val="0"/>
    <w:rPr>
      <w:rFonts w:ascii="Times New Roman" w:hAnsi="Times New Roman" w:eastAsia="宋体" w:cs="Times New Roman"/>
      <w:kern w:val="2"/>
      <w:sz w:val="18"/>
      <w:szCs w:val="18"/>
    </w:rPr>
  </w:style>
  <w:style w:type="character" w:customStyle="1" w:styleId="13">
    <w:name w:val="页脚 字符"/>
    <w:basedOn w:val="8"/>
    <w:link w:val="5"/>
    <w:qFormat/>
    <w:uiPriority w:val="0"/>
    <w:rPr>
      <w:rFonts w:ascii="Times New Roman" w:hAnsi="Times New Roman" w:eastAsia="宋体" w:cs="Times New Roman"/>
      <w:kern w:val="2"/>
      <w:sz w:val="18"/>
      <w:szCs w:val="18"/>
    </w:rPr>
  </w:style>
  <w:style w:type="paragraph" w:customStyle="1" w:styleId="14">
    <w:name w:val="List Paragraph"/>
    <w:basedOn w:val="1"/>
    <w:qFormat/>
    <w:uiPriority w:val="99"/>
    <w:pPr>
      <w:ind w:firstLine="420" w:firstLineChars="200"/>
    </w:pPr>
  </w:style>
  <w:style w:type="character" w:customStyle="1" w:styleId="15">
    <w:name w:val="批注框文本 字符"/>
    <w:basedOn w:val="8"/>
    <w:link w:val="4"/>
    <w:qFormat/>
    <w:uiPriority w:val="0"/>
    <w:rPr>
      <w:rFonts w:ascii="Times New Roman" w:hAnsi="Times New Roman" w:eastAsia="宋体" w:cs="Times New Roman"/>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Pages>
  <Words>4978</Words>
  <Characters>5109</Characters>
  <Lines>47</Lines>
  <Paragraphs>13</Paragraphs>
  <TotalTime>2</TotalTime>
  <ScaleCrop>false</ScaleCrop>
  <LinksUpToDate>false</LinksUpToDate>
  <CharactersWithSpaces>5184</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2023-04-02T10:25:00Z</dcterms:created>
  <dc:creator>Administrator</dc:creator>
  <cp:lastModifiedBy>梁磊</cp:lastModifiedBy>
  <dcterms:modified xsi:type="dcterms:W3CDTF">2023-07-09T02:24:44Z</dcterms:modified>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y fmtid="{D5CDD505-2E9C-101B-9397-08002B2CF9AE}" pid="3" name="ICV">
    <vt:lpwstr>E623EA0689A14E52980D37B20F5DFDC2</vt:lpwstr>
  </property>
</Properties>
</file>