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《交互媒体设计与应用》</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课程代码：10676</w:t>
      </w:r>
      <w:r>
        <w:rPr>
          <w:rFonts w:hint="eastAsia" w:ascii="仿宋_GB2312" w:hAnsi="仿宋_GB2312" w:eastAsia="仿宋_GB2312" w:cs="仿宋_GB2312"/>
          <w:b/>
          <w:bCs/>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“交互媒体设计与应用”是高等教育自学考试数字媒体艺术设计（专科）专业考试计划中的一门专业基础课。</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以科学技术和人文艺术基本素养能力交叉融合培养出发，讲授文化产业创新的前沿动态和多维度的新媒体互动设计知识。课程涵盖交互媒体设计特点与规律、设计方式与方法，以及交互媒体的应用创新等内容。通过本课程的学习，提高学生对新媒体文化艺术与技术美学的认识和素质，培养学生具备交互媒体实际项目设计、规划与制作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互媒体设计与应用”是一门以设计理念的传达为主，同时兼备实践，强调用新的交互媒体技术在应用领域的创新与探索。本课程的主要目的是使考生通过自学、上机实践等方式掌握交互媒体设计的基础理论、设计原则及方法，掌握各种媒体的基本处理技术，结合新媒体作品设计，培养考生综合运用所学知识能力并发挥想象力和创造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通过本课程的学习，考生应达到以下目标：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1.了解新媒体设计概况及基本常识。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2.了解交互媒体设计原理与流程。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3.熟练掌握移动媒体创意设计。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4.熟练掌握互动媒体与移动媒体的交融。</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5.熟练掌握传统媒体与新媒体文化交融。</w:t>
      </w:r>
    </w:p>
    <w:p>
      <w:pPr>
        <w:keepNext w:val="0"/>
        <w:keepLines w:val="0"/>
        <w:pageBreakBefore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学习本课程需要有一定的计算机基础和网络基础知识，因此本课程以“计算机应用基础”、“数字媒体基础”等课程为先导课。</w:t>
      </w:r>
    </w:p>
    <w:p>
      <w:pPr>
        <w:keepNext w:val="0"/>
        <w:keepLines w:val="0"/>
        <w:pageBreakBefore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 xml:space="preserve">课程的重点和难点 </w:t>
      </w:r>
    </w:p>
    <w:p>
      <w:pPr>
        <w:keepNext w:val="0"/>
        <w:keepLines w:val="0"/>
        <w:pageBreakBefore w:val="0"/>
        <w:kinsoku/>
        <w:wordWrap/>
        <w:overflowPunct/>
        <w:topLinePunct w:val="0"/>
        <w:autoSpaceDE/>
        <w:autoSpaceDN/>
        <w:bidi w:val="0"/>
        <w:snapToGrid w:val="0"/>
        <w:spacing w:line="240" w:lineRule="auto"/>
        <w:ind w:right="0" w:rightChars="0" w:firstLine="371" w:firstLineChars="177"/>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本课程的重点是交互媒体的概念、类型，实现交互互动的方式和平台，多媒体系统创作工作及多媒体信息处理技术等。难点是在设计中将传统媒体与新媒体有机融合。</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本大纲是“交互媒体设计与应用”课程的个人自学、社会助学和考试命题的依据，本课程的考试范围以本考试大纲所限定的内容为准。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本大纲在考核目标中，按照识记、领会、应用三个层次规定其应达到的能力层次要求。三个能力层次是递进关系，各能力层次的含义是：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识别和记忆“交互媒体设计与应用”课程中有关知识点的概念性内容（如教材中给出的基本定义、概念、设计原则、步骤方法、限定规则和特点等），并能够根据考核的不同要求，做出正确的表述、选择和判断。</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应用：要求考生综合运用多媒体交互设计的艺术理论、认识心理、视觉辨析等基础理论进行内容设计、交互设计、视觉表现设计，能完成完整的实际可用的多媒体交互设计作品。</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FF0000"/>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新媒体设计发展概述 </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1.了解文化创意的概念；</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2.了解新媒体文化；</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3.了解新媒体创意经济的特征；</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4.了解新媒体跨界融合的审美转换。</w:t>
      </w:r>
    </w:p>
    <w:p>
      <w:pPr>
        <w:keepNext w:val="0"/>
        <w:keepLines w:val="0"/>
        <w:pageBreakBefore w:val="0"/>
        <w:numPr>
          <w:ilvl w:val="0"/>
          <w:numId w:val="2"/>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文化创意产业与新媒体设计教育</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新媒体文化</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新媒体创意经济特征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 超常跨界应用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（一）文化创意产业与新媒体设计教育 </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识记：文化创意；新媒体设计教育内容。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（二）新媒体文化</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识记：技术与艺术互动；视听媒体。</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（三）新媒体创意经济特征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识记：注意力经济；体验式经济。</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（四）超常跨界应用</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识记：新媒体跨界融合的审美转换；审美消费多元化。</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本章的重点：新媒体文化与新媒体创意经济特征。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本章的难点：超常跨界应用。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互动媒体设计艺术 </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1.理解互动创意设计的概念；</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2.掌握流媒体审美特征；</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3.掌握基于浏览器的互动设计原则；</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4.掌握非基于浏览器的互动设计特点。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数字互动设计艺术教育内容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基于浏览器的互动设计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 非基于浏览器的互动设计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2.4 应用开发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（一）数字互动设计艺术教育内容 </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识记：数字互动设计艺术教育内容。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领会：创意基本准则。</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（二）基于浏览器的互动设计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识记：界面设计精准化；图文编排功能化；操作可视化；按键随性化。</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应用：使用程序模块化。</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（三）非基于浏览器的互动设计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识记：设计形式的创新性；界面互动可创性。</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（四）应用开发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应用：中国传统文化特色的游戏界面设计。</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本章的重点：互动设计原则。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本章的难点：应用开发。</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移动媒体创意设计 </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1.了解动漫美学概念；</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2.掌握动漫美学的教育学科；</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3.掌握动画文本图像化；</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4.掌握影音媒体的商品属性。</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 影视动漫媒体文化</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 xml:space="preserve"> 影音媒体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（一）影视动漫媒体文化 </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识记：动漫美学的概念。</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领会：动漫美学的教育学科。</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应用：动画文本图像化。</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CN"/>
        </w:rPr>
        <w:t>二</w:t>
      </w:r>
      <w:r>
        <w:rPr>
          <w:rFonts w:hint="eastAsia" w:ascii="仿宋_GB2312" w:hAnsi="仿宋_GB2312" w:eastAsia="仿宋_GB2312" w:cs="仿宋_GB2312"/>
          <w:b w:val="0"/>
          <w:bCs w:val="0"/>
          <w:sz w:val="21"/>
          <w:szCs w:val="21"/>
        </w:rPr>
        <w:t>）影音媒体</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识记：影音媒体的商品属性。</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应用：影音内容的创意与制作。</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本章的重点：影视动漫媒体文化；影音媒体的商品属性。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本章的难点：影音内容的创意与制作。</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互动媒体与移动媒体的交融 </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1.了解物联网的概念；</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2.熟悉技术与艺术融合的成就；</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3.掌握电商互动美学；</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4.掌握合网页互动设计；</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5.了解媒体创意产业的基本特征。</w:t>
      </w:r>
    </w:p>
    <w:p>
      <w:pPr>
        <w:keepNext w:val="0"/>
        <w:keepLines w:val="0"/>
        <w:pageBreakBefore w:val="0"/>
        <w:numPr>
          <w:ilvl w:val="0"/>
          <w:numId w:val="2"/>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物联网</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 xml:space="preserve"> 体验互动价值的认同</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 xml:space="preserve"> 网页互动设计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r>
        <w:rPr>
          <w:rFonts w:hint="eastAsia" w:ascii="仿宋_GB2312" w:hAnsi="仿宋_GB2312" w:eastAsia="仿宋_GB2312" w:cs="仿宋_GB2312"/>
          <w:b w:val="0"/>
          <w:bCs w:val="0"/>
          <w:sz w:val="21"/>
          <w:szCs w:val="21"/>
          <w:lang w:val="en-US" w:eastAsia="zh-CN"/>
        </w:rPr>
        <w:t>4</w:t>
      </w:r>
      <w:r>
        <w:rPr>
          <w:rFonts w:hint="eastAsia" w:ascii="仿宋_GB2312" w:hAnsi="仿宋_GB2312" w:eastAsia="仿宋_GB2312" w:cs="仿宋_GB2312"/>
          <w:b w:val="0"/>
          <w:bCs w:val="0"/>
          <w:sz w:val="21"/>
          <w:szCs w:val="21"/>
        </w:rPr>
        <w:t xml:space="preserve"> 衍生（周边）产品与附加值</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 xml:space="preserve"> 传播与推广</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w:t>
      </w: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 xml:space="preserve"> 社交网络市场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（一）物联网 </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识记：物联网的概念。</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领会：物联网在社会经济发展中的作用。</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CN"/>
        </w:rPr>
        <w:t>二</w:t>
      </w:r>
      <w:r>
        <w:rPr>
          <w:rFonts w:hint="eastAsia" w:ascii="仿宋_GB2312" w:hAnsi="仿宋_GB2312" w:eastAsia="仿宋_GB2312" w:cs="仿宋_GB2312"/>
          <w:b w:val="0"/>
          <w:bCs w:val="0"/>
          <w:sz w:val="21"/>
          <w:szCs w:val="21"/>
        </w:rPr>
        <w:t>）体验互动价值的认同</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识记：电子商务。</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领会：电商互动美学。</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CN"/>
        </w:rPr>
        <w:t>三</w:t>
      </w:r>
      <w:r>
        <w:rPr>
          <w:rFonts w:hint="eastAsia" w:ascii="仿宋_GB2312" w:hAnsi="仿宋_GB2312" w:eastAsia="仿宋_GB2312" w:cs="仿宋_GB2312"/>
          <w:b w:val="0"/>
          <w:bCs w:val="0"/>
          <w:sz w:val="21"/>
          <w:szCs w:val="21"/>
        </w:rPr>
        <w:t>）网页互动设计</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领会：体验用户；体验商品。</w:t>
      </w:r>
    </w:p>
    <w:p>
      <w:pPr>
        <w:keepNext w:val="0"/>
        <w:keepLines w:val="0"/>
        <w:pageBreakBefore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应用：体验设计，体验创意。</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CN"/>
        </w:rPr>
        <w:t>四</w:t>
      </w:r>
      <w:r>
        <w:rPr>
          <w:rFonts w:hint="eastAsia" w:ascii="仿宋_GB2312" w:hAnsi="仿宋_GB2312" w:eastAsia="仿宋_GB2312" w:cs="仿宋_GB2312"/>
          <w:b w:val="0"/>
          <w:bCs w:val="0"/>
          <w:sz w:val="21"/>
          <w:szCs w:val="21"/>
        </w:rPr>
        <w:t>）衍生（周边）产品与附加值</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领会：华语文创展示设计。</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）传播与推广</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识记：传播教育。</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领会：传媒道德准则。</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）社交网络市场</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识记：社交教育网络。</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领会：媒体创意市场研究热点；媒体创意产业的基本特征。</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应用：媒体创意设计的显著特征。</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本章的重点：电商互动美学；传媒道德准则。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本章的难点：网页互动设计。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传统媒体与新媒体文化融合 </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1.了解新媒体文化与艺术品收藏的关系；</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2.掌握数字艺术设计在水墨画创作的应用；</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3.掌握数字媒介在插画设计中的应用；</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4.掌握数字创新在包装艺术中的应用；</w:t>
      </w:r>
    </w:p>
    <w:p>
      <w:pPr>
        <w:keepNext w:val="0"/>
        <w:keepLines w:val="0"/>
        <w:pageBreakBefore w:val="0"/>
        <w:kinsoku/>
        <w:wordWrap/>
        <w:overflowPunct/>
        <w:topLinePunct w:val="0"/>
        <w:autoSpaceDE/>
        <w:autoSpaceDN/>
        <w:bidi w:val="0"/>
        <w:snapToGrid w:val="0"/>
        <w:spacing w:line="240" w:lineRule="auto"/>
        <w:ind w:left="48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5.掌握多介质表现数字摄影。</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 新媒体文化提升艺术品收藏价值</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 水墨画与纤维数字艺术设计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 插画设计与数字媒介</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5.4 包装艺术与数字创新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5.5 全介质数字技术创新与传统艺术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5.6 数字摄影与表现介质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（一）新媒体文化提升艺术品收藏价值 </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识记：百幅唐卡的艺术原则、艺术品标准及创新成果。</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领会：百幅唐卡的创新点及超文化价值。</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（二）水墨画与纤维数字艺术设计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应用：绘画与纤维创意设计。</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（三）插画设计与数字媒介</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识记：纤维堆绣插画；绘本插画。</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（四）包装艺术与数字创新</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应用：华语包装设计创意。</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（五）全介质数字技术创新与传统艺术</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识记：全介质媒材与传统手工艺。</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领会：全介质创意设计与复合工艺。</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（六）数字摄影与表现介质</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领会：数字影像创意求异化。</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应用：数字影像输出多元化。</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本章的重点：数字艺术设计在水墨画创作的应用；数字媒介在插画设计中的应用。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本章的难点：数字创新在包装艺术中的应用；多介质表现数字摄影。</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“交互媒体设计与应用”课程自学考试大纲是根据数字媒体艺术设计（专科）专业自学考试计划的要求，结合自学考试的特点而确定。其目的是对个人自学、社会助学和课程考试命题进行指导和规定。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3"/>
        <w:keepNext w:val="0"/>
        <w:keepLines w:val="0"/>
        <w:pageBreakBefore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w:t>
      </w:r>
      <w:r>
        <w:rPr>
          <w:rFonts w:hint="eastAsia" w:ascii="仿宋_GB2312" w:hAnsi="仿宋_GB2312" w:eastAsia="仿宋_GB2312" w:cs="仿宋_GB2312"/>
          <w:b w:val="0"/>
          <w:bCs w:val="0"/>
          <w:sz w:val="21"/>
          <w:szCs w:val="21"/>
          <w:lang w:val="en-US" w:eastAsia="zh-CN"/>
        </w:rPr>
        <w:t>自学</w:t>
      </w:r>
      <w:r>
        <w:rPr>
          <w:rFonts w:hint="eastAsia" w:ascii="仿宋_GB2312" w:hAnsi="仿宋_GB2312" w:eastAsia="仿宋_GB2312" w:cs="仿宋_GB2312"/>
          <w:b w:val="0"/>
          <w:bCs w:val="0"/>
          <w:sz w:val="21"/>
          <w:szCs w:val="21"/>
        </w:rPr>
        <w:t>教材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0" w:name="_GoBack"/>
      <w:r>
        <w:rPr>
          <w:rFonts w:hint="eastAsia" w:ascii="仿宋_GB2312" w:hAnsi="仿宋_GB2312" w:eastAsia="仿宋_GB2312" w:cs="仿宋_GB2312"/>
          <w:b w:val="0"/>
          <w:bCs w:val="0"/>
          <w:sz w:val="21"/>
          <w:szCs w:val="21"/>
        </w:rPr>
        <w:t>《新媒体互动设计教程》，丘星星编著，清华大学出版社，2019年版</w:t>
      </w:r>
      <w:bookmarkEnd w:id="0"/>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本教材的“</w:t>
      </w:r>
      <w:r>
        <w:rPr>
          <w:rFonts w:hint="eastAsia" w:ascii="仿宋_GB2312" w:hAnsi="仿宋_GB2312" w:eastAsia="仿宋_GB2312" w:cs="仿宋_GB2312"/>
          <w:b w:val="0"/>
          <w:bCs w:val="0"/>
          <w:sz w:val="21"/>
          <w:szCs w:val="21"/>
          <w:lang w:eastAsia="zh-CN"/>
        </w:rPr>
        <w:t>第</w:t>
      </w:r>
      <w:r>
        <w:rPr>
          <w:rFonts w:hint="eastAsia" w:ascii="仿宋_GB2312" w:hAnsi="仿宋_GB2312" w:eastAsia="仿宋_GB2312" w:cs="仿宋_GB2312"/>
          <w:b w:val="0"/>
          <w:bCs w:val="0"/>
          <w:sz w:val="21"/>
          <w:szCs w:val="21"/>
          <w:lang w:val="en-US" w:eastAsia="zh-CN"/>
        </w:rPr>
        <w:t>3章第</w:t>
      </w:r>
      <w:r>
        <w:rPr>
          <w:rFonts w:hint="eastAsia" w:ascii="仿宋_GB2312" w:hAnsi="仿宋_GB2312" w:eastAsia="仿宋_GB2312" w:cs="仿宋_GB2312"/>
          <w:b w:val="0"/>
          <w:bCs w:val="0"/>
          <w:sz w:val="21"/>
          <w:szCs w:val="21"/>
        </w:rPr>
        <w:t>2节、</w:t>
      </w:r>
      <w:r>
        <w:rPr>
          <w:rFonts w:hint="eastAsia" w:ascii="仿宋_GB2312" w:hAnsi="仿宋_GB2312" w:eastAsia="仿宋_GB2312" w:cs="仿宋_GB2312"/>
          <w:b w:val="0"/>
          <w:bCs w:val="0"/>
          <w:sz w:val="21"/>
          <w:szCs w:val="21"/>
          <w:lang w:eastAsia="zh-CN"/>
        </w:rPr>
        <w:t>第</w:t>
      </w:r>
      <w:r>
        <w:rPr>
          <w:rFonts w:hint="eastAsia" w:ascii="仿宋_GB2312" w:hAnsi="仿宋_GB2312" w:eastAsia="仿宋_GB2312" w:cs="仿宋_GB2312"/>
          <w:b w:val="0"/>
          <w:bCs w:val="0"/>
          <w:sz w:val="21"/>
          <w:szCs w:val="21"/>
          <w:lang w:val="en-US" w:eastAsia="zh-CN"/>
        </w:rPr>
        <w:t>4章第</w:t>
      </w:r>
      <w:r>
        <w:rPr>
          <w:rFonts w:hint="eastAsia" w:ascii="仿宋_GB2312" w:hAnsi="仿宋_GB2312" w:eastAsia="仿宋_GB2312" w:cs="仿宋_GB2312"/>
          <w:b w:val="0"/>
          <w:bCs w:val="0"/>
          <w:sz w:val="21"/>
          <w:szCs w:val="21"/>
        </w:rPr>
        <w:t>2节及第6章”内容考生可根据个人能力与兴趣自学，不纳入考核范围。</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highlight w:val="none"/>
        </w:rPr>
      </w:pPr>
      <w:r>
        <w:rPr>
          <w:rFonts w:hint="eastAsia" w:ascii="仿宋_GB2312" w:hAnsi="仿宋_GB2312" w:eastAsia="仿宋_GB2312" w:cs="仿宋_GB2312"/>
          <w:b w:val="0"/>
          <w:bCs w:val="0"/>
          <w:sz w:val="21"/>
          <w:szCs w:val="21"/>
          <w:highlight w:val="none"/>
        </w:rPr>
        <w:t>由于成人学习的个性化特点，建议业余自学时间不低于64个学时。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学习交互媒体设计与应用的目的是理解并掌握互动媒体设计的基础知识和设计原理，并应用各种工具软件制作多种类型的新媒体作品，上机实践是学习互动设计的有效途径，因此，要求考生加强上机实践，提升应用信息技术技能和水平。</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5.在生活和工作中也需多注意观察图像、音频、视频、动画等媒体信息的设计特点，并在实践练习中借鉴学习。</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五、对社会助学的要求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助学者在辅导时应帮助自学者梳理重点内容和一般内容之间的关系，在他们全面掌握全部考试内容的基础上，引导考生全面地认识“新媒体”互动设计的创作理念和表达方式，使其较全面地了解有关新媒体的诸多研究方向和话题，从而更好地将艺术创作与新技术有机融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5.辅导要为考生提供足够多的上机实践机会，注意培养学生的上机操作能力，让学生能够通过上机实践进一步掌握相关知识。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本课程考纲内容学时建议：</w:t>
      </w:r>
    </w:p>
    <w:tbl>
      <w:tblPr>
        <w:tblStyle w:val="10"/>
        <w:tblW w:w="77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4185"/>
        <w:gridCol w:w="1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章次</w:t>
            </w:r>
          </w:p>
        </w:tc>
        <w:tc>
          <w:tcPr>
            <w:tcW w:w="4185" w:type="dxa"/>
          </w:tcPr>
          <w:p>
            <w:pPr>
              <w:keepNext w:val="0"/>
              <w:keepLines w:val="0"/>
              <w:pageBreakBefore w:val="0"/>
              <w:kinsoku/>
              <w:wordWrap/>
              <w:overflowPunct/>
              <w:topLinePunct w:val="0"/>
              <w:autoSpaceDE/>
              <w:autoSpaceDN/>
              <w:bidi w:val="0"/>
              <w:snapToGrid w:val="0"/>
              <w:spacing w:line="240" w:lineRule="auto"/>
              <w:ind w:left="-107" w:leftChars="-51"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学习内容</w:t>
            </w:r>
          </w:p>
        </w:tc>
        <w:tc>
          <w:tcPr>
            <w:tcW w:w="198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第1章</w:t>
            </w:r>
          </w:p>
        </w:tc>
        <w:tc>
          <w:tcPr>
            <w:tcW w:w="4185" w:type="dxa"/>
          </w:tcPr>
          <w:p>
            <w:pPr>
              <w:keepNext w:val="0"/>
              <w:keepLines w:val="0"/>
              <w:pageBreakBefore w:val="0"/>
              <w:kinsoku/>
              <w:wordWrap/>
              <w:overflowPunct/>
              <w:topLinePunct w:val="0"/>
              <w:autoSpaceDE/>
              <w:autoSpaceDN/>
              <w:bidi w:val="0"/>
              <w:snapToGrid w:val="0"/>
              <w:spacing w:line="240" w:lineRule="auto"/>
              <w:ind w:left="-107" w:leftChars="-51"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新媒体设计发展概述</w:t>
            </w:r>
          </w:p>
        </w:tc>
        <w:tc>
          <w:tcPr>
            <w:tcW w:w="198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第2章</w:t>
            </w:r>
          </w:p>
        </w:tc>
        <w:tc>
          <w:tcPr>
            <w:tcW w:w="4185" w:type="dxa"/>
          </w:tcPr>
          <w:p>
            <w:pPr>
              <w:keepNext w:val="0"/>
              <w:keepLines w:val="0"/>
              <w:pageBreakBefore w:val="0"/>
              <w:kinsoku/>
              <w:wordWrap/>
              <w:overflowPunct/>
              <w:topLinePunct w:val="0"/>
              <w:autoSpaceDE/>
              <w:autoSpaceDN/>
              <w:bidi w:val="0"/>
              <w:snapToGrid w:val="0"/>
              <w:spacing w:line="240" w:lineRule="auto"/>
              <w:ind w:left="-107" w:leftChars="-51"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互动媒体设计艺术</w:t>
            </w:r>
          </w:p>
        </w:tc>
        <w:tc>
          <w:tcPr>
            <w:tcW w:w="198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第3章</w:t>
            </w:r>
          </w:p>
        </w:tc>
        <w:tc>
          <w:tcPr>
            <w:tcW w:w="4185" w:type="dxa"/>
          </w:tcPr>
          <w:p>
            <w:pPr>
              <w:keepNext w:val="0"/>
              <w:keepLines w:val="0"/>
              <w:pageBreakBefore w:val="0"/>
              <w:kinsoku/>
              <w:wordWrap/>
              <w:overflowPunct/>
              <w:topLinePunct w:val="0"/>
              <w:autoSpaceDE/>
              <w:autoSpaceDN/>
              <w:bidi w:val="0"/>
              <w:snapToGrid w:val="0"/>
              <w:spacing w:line="240" w:lineRule="auto"/>
              <w:ind w:left="-107" w:leftChars="-51"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移动媒体创意设计</w:t>
            </w:r>
          </w:p>
        </w:tc>
        <w:tc>
          <w:tcPr>
            <w:tcW w:w="198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第4章</w:t>
            </w:r>
          </w:p>
        </w:tc>
        <w:tc>
          <w:tcPr>
            <w:tcW w:w="4185" w:type="dxa"/>
          </w:tcPr>
          <w:p>
            <w:pPr>
              <w:keepNext w:val="0"/>
              <w:keepLines w:val="0"/>
              <w:pageBreakBefore w:val="0"/>
              <w:kinsoku/>
              <w:wordWrap/>
              <w:overflowPunct/>
              <w:topLinePunct w:val="0"/>
              <w:autoSpaceDE/>
              <w:autoSpaceDN/>
              <w:bidi w:val="0"/>
              <w:snapToGrid w:val="0"/>
              <w:spacing w:line="240" w:lineRule="auto"/>
              <w:ind w:left="-107" w:leftChars="-51"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互动媒体与移动媒体的交融</w:t>
            </w:r>
          </w:p>
        </w:tc>
        <w:tc>
          <w:tcPr>
            <w:tcW w:w="198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第5章</w:t>
            </w:r>
          </w:p>
        </w:tc>
        <w:tc>
          <w:tcPr>
            <w:tcW w:w="4185" w:type="dxa"/>
          </w:tcPr>
          <w:p>
            <w:pPr>
              <w:keepNext w:val="0"/>
              <w:keepLines w:val="0"/>
              <w:pageBreakBefore w:val="0"/>
              <w:kinsoku/>
              <w:wordWrap/>
              <w:overflowPunct/>
              <w:topLinePunct w:val="0"/>
              <w:autoSpaceDE/>
              <w:autoSpaceDN/>
              <w:bidi w:val="0"/>
              <w:snapToGrid w:val="0"/>
              <w:spacing w:line="240" w:lineRule="auto"/>
              <w:ind w:left="-107" w:leftChars="-51"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传统媒体与新媒体文化融合</w:t>
            </w:r>
          </w:p>
        </w:tc>
        <w:tc>
          <w:tcPr>
            <w:tcW w:w="1989"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15</w:t>
            </w:r>
          </w:p>
        </w:tc>
      </w:tr>
    </w:tbl>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六、对考核内容的说明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层次确定其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七、关于考试命题的若干规定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。考试时只允许携带笔、橡皮和尺，答卷必须使用蓝色或黑色钢笔或签字笔书写。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4.本课程在试卷中对不同能力层次要求的分数比例大致为：识记占30%，领会占40%，应用占30%。</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5.要合理安排试题的难易程度，试题的难度可分为：易、较易、较难和难四个等级。每份试卷中不同难度试题的分数比例一般为：易占20%、较易占30%、较难占30%，难占20%。</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numPr>
          <w:ilvl w:val="0"/>
          <w:numId w:val="0"/>
        </w:numPr>
        <w:kinsoku/>
        <w:wordWrap/>
        <w:overflowPunct/>
        <w:topLinePunct w:val="0"/>
        <w:autoSpaceDE/>
        <w:autoSpaceDN/>
        <w:bidi w:val="0"/>
        <w:snapToGrid w:val="0"/>
        <w:spacing w:line="240" w:lineRule="auto"/>
        <w:ind w:right="0" w:rightChars="0"/>
        <w:jc w:val="both"/>
        <w:rPr>
          <w:rFonts w:hint="eastAsia" w:ascii="仿宋_GB2312" w:hAnsi="仿宋_GB2312" w:eastAsia="仿宋_GB2312" w:cs="仿宋_GB2312"/>
          <w:b/>
          <w:bCs/>
          <w:sz w:val="21"/>
          <w:szCs w:val="21"/>
        </w:rPr>
      </w:pPr>
    </w:p>
    <w:p>
      <w:pPr>
        <w:keepNext w:val="0"/>
        <w:keepLines w:val="0"/>
        <w:pageBreakBefore w:val="0"/>
        <w:numPr>
          <w:ilvl w:val="0"/>
          <w:numId w:val="0"/>
        </w:numPr>
        <w:kinsoku/>
        <w:wordWrap/>
        <w:overflowPunct/>
        <w:topLinePunct w:val="0"/>
        <w:autoSpaceDE/>
        <w:autoSpaceDN/>
        <w:bidi w:val="0"/>
        <w:snapToGrid w:val="0"/>
        <w:spacing w:line="240" w:lineRule="auto"/>
        <w:ind w:right="0" w:rightChars="0"/>
        <w:jc w:val="both"/>
        <w:rPr>
          <w:rFonts w:hint="eastAsia" w:ascii="仿宋_GB2312" w:hAnsi="仿宋_GB2312" w:eastAsia="仿宋_GB2312" w:cs="仿宋_GB2312"/>
          <w:b/>
          <w:bCs/>
          <w:sz w:val="21"/>
          <w:szCs w:val="21"/>
          <w:lang w:val="en-US" w:eastAsia="zh-CN"/>
        </w:rPr>
      </w:pPr>
    </w:p>
    <w:p>
      <w:pPr>
        <w:keepNext w:val="0"/>
        <w:keepLines w:val="0"/>
        <w:pageBreakBefore w:val="0"/>
        <w:numPr>
          <w:ilvl w:val="0"/>
          <w:numId w:val="0"/>
        </w:numPr>
        <w:kinsoku/>
        <w:wordWrap/>
        <w:overflowPunct/>
        <w:topLinePunct w:val="0"/>
        <w:autoSpaceDE/>
        <w:autoSpaceDN/>
        <w:bidi w:val="0"/>
        <w:snapToGrid w:val="0"/>
        <w:spacing w:line="240" w:lineRule="auto"/>
        <w:ind w:right="0" w:rightChars="0"/>
        <w:jc w:val="both"/>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p>
    <w:p>
      <w:pPr>
        <w:keepNext w:val="0"/>
        <w:keepLines w:val="0"/>
        <w:pageBreakBefore w:val="0"/>
        <w:numPr>
          <w:ilvl w:val="0"/>
          <w:numId w:val="4"/>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除了角色设计外，</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 xml:space="preserve">体现一款游戏的特色意境，场景设计的虚拟艺术风格起着至关重要的作用。 </w:t>
      </w:r>
    </w:p>
    <w:p>
      <w:pPr>
        <w:keepNext w:val="0"/>
        <w:keepLines w:val="0"/>
        <w:pageBreakBefore w:val="0"/>
        <w:numPr>
          <w:ilvl w:val="0"/>
          <w:numId w:val="5"/>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游戏场景</w:t>
      </w:r>
    </w:p>
    <w:p>
      <w:pPr>
        <w:keepNext w:val="0"/>
        <w:keepLines w:val="0"/>
        <w:pageBreakBefore w:val="0"/>
        <w:numPr>
          <w:ilvl w:val="0"/>
          <w:numId w:val="5"/>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人设</w:t>
      </w:r>
    </w:p>
    <w:p>
      <w:pPr>
        <w:keepNext w:val="0"/>
        <w:keepLines w:val="0"/>
        <w:pageBreakBefore w:val="0"/>
        <w:numPr>
          <w:ilvl w:val="0"/>
          <w:numId w:val="5"/>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人物</w:t>
      </w:r>
    </w:p>
    <w:p>
      <w:pPr>
        <w:keepNext w:val="0"/>
        <w:keepLines w:val="0"/>
        <w:pageBreakBefore w:val="0"/>
        <w:numPr>
          <w:ilvl w:val="0"/>
          <w:numId w:val="5"/>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背景</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二</w:t>
      </w:r>
      <w:r>
        <w:rPr>
          <w:rFonts w:hint="eastAsia" w:ascii="仿宋_GB2312" w:hAnsi="仿宋_GB2312" w:eastAsia="仿宋_GB2312" w:cs="仿宋_GB2312"/>
          <w:b w:val="0"/>
          <w:bCs w:val="0"/>
          <w:sz w:val="21"/>
          <w:szCs w:val="21"/>
        </w:rPr>
        <w:t>、名词解释</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1、物联网</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三</w:t>
      </w:r>
      <w:r>
        <w:rPr>
          <w:rFonts w:hint="eastAsia" w:ascii="仿宋_GB2312" w:hAnsi="仿宋_GB2312" w:eastAsia="仿宋_GB2312" w:cs="仿宋_GB2312"/>
          <w:b w:val="0"/>
          <w:bCs w:val="0"/>
          <w:sz w:val="21"/>
          <w:szCs w:val="21"/>
        </w:rPr>
        <w:t>、简答题</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1.新媒体设计教育内容涵盖哪些领域？与创意产业的关系如何？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四</w:t>
      </w:r>
      <w:r>
        <w:rPr>
          <w:rFonts w:hint="eastAsia" w:ascii="仿宋_GB2312" w:hAnsi="仿宋_GB2312" w:eastAsia="仿宋_GB2312" w:cs="仿宋_GB2312"/>
          <w:b w:val="0"/>
          <w:bCs w:val="0"/>
          <w:sz w:val="21"/>
          <w:szCs w:val="21"/>
        </w:rPr>
        <w:t>、论述题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1.基于浏览器设计形式特点，举例说明“模块化”在设计应用中的作用。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方正小标宋简体">
    <w:panose1 w:val="02010601030101010101"/>
    <w:charset w:val="86"/>
    <w:family w:val="auto"/>
    <w:pitch w:val="default"/>
    <w:sig w:usb0="00000001" w:usb1="080E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1D088F3E"/>
    <w:multiLevelType w:val="singleLevel"/>
    <w:tmpl w:val="1D088F3E"/>
    <w:lvl w:ilvl="0" w:tentative="0">
      <w:start w:val="1"/>
      <w:numFmt w:val="upperLetter"/>
      <w:lvlText w:val="%1."/>
      <w:lvlJc w:val="left"/>
      <w:pPr>
        <w:tabs>
          <w:tab w:val="left" w:pos="312"/>
        </w:tabs>
      </w:pPr>
    </w:lvl>
  </w:abstractNum>
  <w:abstractNum w:abstractNumId="2">
    <w:nsid w:val="39544149"/>
    <w:multiLevelType w:val="singleLevel"/>
    <w:tmpl w:val="39544149"/>
    <w:lvl w:ilvl="0" w:tentative="0">
      <w:start w:val="1"/>
      <w:numFmt w:val="chineseCounting"/>
      <w:suff w:val="space"/>
      <w:lvlText w:val="第%1章"/>
      <w:lvlJc w:val="left"/>
      <w:rPr>
        <w:rFonts w:hint="eastAsia"/>
      </w:rPr>
    </w:lvl>
  </w:abstractNum>
  <w:abstractNum w:abstractNumId="3">
    <w:nsid w:val="3F410D9A"/>
    <w:multiLevelType w:val="singleLevel"/>
    <w:tmpl w:val="3F410D9A"/>
    <w:lvl w:ilvl="0" w:tentative="0">
      <w:start w:val="2"/>
      <w:numFmt w:val="chineseCounting"/>
      <w:suff w:val="nothing"/>
      <w:lvlText w:val="%1、"/>
      <w:lvlJc w:val="left"/>
      <w:rPr>
        <w:rFonts w:hint="eastAsia"/>
      </w:rPr>
    </w:lvl>
  </w:abstractNum>
  <w:abstractNum w:abstractNumId="4">
    <w:nsid w:val="4C7556F9"/>
    <w:multiLevelType w:val="singleLevel"/>
    <w:tmpl w:val="4C7556F9"/>
    <w:lvl w:ilvl="0" w:tentative="0">
      <w:start w:val="1"/>
      <w:numFmt w:val="decimal"/>
      <w:lvlText w:val="%1."/>
      <w:lvlJc w:val="left"/>
      <w:pPr>
        <w:tabs>
          <w:tab w:val="left" w:pos="312"/>
        </w:tabs>
      </w:pPr>
      <w:rPr>
        <w:rFonts w:hint="default"/>
        <w:color w:val="auto"/>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2MjE4NTMzMDI4MzZjNDk4ZDY5NWE0MmU5ZTYyZDEifQ=="/>
  </w:docVars>
  <w:rsids>
    <w:rsidRoot w:val="001A2EED"/>
    <w:rsid w:val="00000F35"/>
    <w:rsid w:val="000135D2"/>
    <w:rsid w:val="00056AE4"/>
    <w:rsid w:val="000C161D"/>
    <w:rsid w:val="000E482E"/>
    <w:rsid w:val="00130FA3"/>
    <w:rsid w:val="00144693"/>
    <w:rsid w:val="00147B7D"/>
    <w:rsid w:val="001741BB"/>
    <w:rsid w:val="001A2EED"/>
    <w:rsid w:val="002228EA"/>
    <w:rsid w:val="00261DB8"/>
    <w:rsid w:val="002D52F8"/>
    <w:rsid w:val="00312D20"/>
    <w:rsid w:val="00316EB3"/>
    <w:rsid w:val="003245C7"/>
    <w:rsid w:val="00380931"/>
    <w:rsid w:val="003B5C09"/>
    <w:rsid w:val="003C6264"/>
    <w:rsid w:val="003E36FB"/>
    <w:rsid w:val="003E667A"/>
    <w:rsid w:val="003F46EC"/>
    <w:rsid w:val="00422BAC"/>
    <w:rsid w:val="00425C63"/>
    <w:rsid w:val="004A66AB"/>
    <w:rsid w:val="004B3134"/>
    <w:rsid w:val="004E23F5"/>
    <w:rsid w:val="0052244C"/>
    <w:rsid w:val="005D6316"/>
    <w:rsid w:val="005F3110"/>
    <w:rsid w:val="0067515A"/>
    <w:rsid w:val="006839A9"/>
    <w:rsid w:val="006A6A6B"/>
    <w:rsid w:val="006B2530"/>
    <w:rsid w:val="006E115E"/>
    <w:rsid w:val="00700E02"/>
    <w:rsid w:val="0070180C"/>
    <w:rsid w:val="007162CE"/>
    <w:rsid w:val="00734C75"/>
    <w:rsid w:val="007634E3"/>
    <w:rsid w:val="00817C76"/>
    <w:rsid w:val="00845799"/>
    <w:rsid w:val="0087475C"/>
    <w:rsid w:val="00882692"/>
    <w:rsid w:val="008B1AEF"/>
    <w:rsid w:val="008C4F18"/>
    <w:rsid w:val="008E0B40"/>
    <w:rsid w:val="00905413"/>
    <w:rsid w:val="00930B54"/>
    <w:rsid w:val="0096292F"/>
    <w:rsid w:val="009657F3"/>
    <w:rsid w:val="00983E22"/>
    <w:rsid w:val="00984F01"/>
    <w:rsid w:val="009A5B35"/>
    <w:rsid w:val="009D1090"/>
    <w:rsid w:val="009E666F"/>
    <w:rsid w:val="00A12DDA"/>
    <w:rsid w:val="00A32124"/>
    <w:rsid w:val="00A3418A"/>
    <w:rsid w:val="00A74FAD"/>
    <w:rsid w:val="00AA182D"/>
    <w:rsid w:val="00AF0229"/>
    <w:rsid w:val="00B655FF"/>
    <w:rsid w:val="00C01028"/>
    <w:rsid w:val="00C25E8A"/>
    <w:rsid w:val="00C46D49"/>
    <w:rsid w:val="00C5203E"/>
    <w:rsid w:val="00CD02E4"/>
    <w:rsid w:val="00CF2C8D"/>
    <w:rsid w:val="00CF30F8"/>
    <w:rsid w:val="00E07FF1"/>
    <w:rsid w:val="00E259C6"/>
    <w:rsid w:val="00E26FD6"/>
    <w:rsid w:val="00E621AE"/>
    <w:rsid w:val="00E66EDC"/>
    <w:rsid w:val="00E76B3B"/>
    <w:rsid w:val="00EF47FD"/>
    <w:rsid w:val="00F149CC"/>
    <w:rsid w:val="00F56B97"/>
    <w:rsid w:val="00F6713D"/>
    <w:rsid w:val="00F67A1C"/>
    <w:rsid w:val="00F92CB0"/>
    <w:rsid w:val="00FB18CE"/>
    <w:rsid w:val="00FC317D"/>
    <w:rsid w:val="016025FC"/>
    <w:rsid w:val="019D2150"/>
    <w:rsid w:val="0214786B"/>
    <w:rsid w:val="02691984"/>
    <w:rsid w:val="03577DA5"/>
    <w:rsid w:val="03E56DE9"/>
    <w:rsid w:val="03F86B1C"/>
    <w:rsid w:val="06712BB6"/>
    <w:rsid w:val="0884385E"/>
    <w:rsid w:val="097E3F67"/>
    <w:rsid w:val="0A5E5C2E"/>
    <w:rsid w:val="0A981059"/>
    <w:rsid w:val="0AEB6624"/>
    <w:rsid w:val="0B204BAA"/>
    <w:rsid w:val="0E5E6115"/>
    <w:rsid w:val="0F957915"/>
    <w:rsid w:val="0FCD5301"/>
    <w:rsid w:val="0FD11F2A"/>
    <w:rsid w:val="1170719A"/>
    <w:rsid w:val="11916802"/>
    <w:rsid w:val="12E45830"/>
    <w:rsid w:val="13632E3B"/>
    <w:rsid w:val="13D32467"/>
    <w:rsid w:val="146E3568"/>
    <w:rsid w:val="14F83E5A"/>
    <w:rsid w:val="15BA086C"/>
    <w:rsid w:val="1695469E"/>
    <w:rsid w:val="17566525"/>
    <w:rsid w:val="17D13AF8"/>
    <w:rsid w:val="18890233"/>
    <w:rsid w:val="19876DE5"/>
    <w:rsid w:val="19B84892"/>
    <w:rsid w:val="1B2E6E70"/>
    <w:rsid w:val="1BBC1A63"/>
    <w:rsid w:val="1D7E5E8C"/>
    <w:rsid w:val="1DF27B5F"/>
    <w:rsid w:val="1E6B41AB"/>
    <w:rsid w:val="1F7F19BF"/>
    <w:rsid w:val="20006896"/>
    <w:rsid w:val="216E7FC6"/>
    <w:rsid w:val="234000B8"/>
    <w:rsid w:val="23633A1A"/>
    <w:rsid w:val="23F8626D"/>
    <w:rsid w:val="2419690F"/>
    <w:rsid w:val="252C15D5"/>
    <w:rsid w:val="26A20396"/>
    <w:rsid w:val="26B40B71"/>
    <w:rsid w:val="275A1718"/>
    <w:rsid w:val="290C6955"/>
    <w:rsid w:val="299B620D"/>
    <w:rsid w:val="2B522706"/>
    <w:rsid w:val="2B6F5509"/>
    <w:rsid w:val="2B711421"/>
    <w:rsid w:val="2CD43BCF"/>
    <w:rsid w:val="2DFB52D7"/>
    <w:rsid w:val="2F827A5E"/>
    <w:rsid w:val="31232B7B"/>
    <w:rsid w:val="3159738D"/>
    <w:rsid w:val="35156C7E"/>
    <w:rsid w:val="354A647F"/>
    <w:rsid w:val="35555B77"/>
    <w:rsid w:val="39400042"/>
    <w:rsid w:val="3B497E49"/>
    <w:rsid w:val="3BC27C39"/>
    <w:rsid w:val="3BEA0F51"/>
    <w:rsid w:val="3EEB0A50"/>
    <w:rsid w:val="40063D93"/>
    <w:rsid w:val="410D73A4"/>
    <w:rsid w:val="413466DE"/>
    <w:rsid w:val="41C9151C"/>
    <w:rsid w:val="43B53622"/>
    <w:rsid w:val="4473751E"/>
    <w:rsid w:val="455F2DB6"/>
    <w:rsid w:val="45CE4D82"/>
    <w:rsid w:val="46503FBA"/>
    <w:rsid w:val="47FD0484"/>
    <w:rsid w:val="49261002"/>
    <w:rsid w:val="49311755"/>
    <w:rsid w:val="4AC62A9D"/>
    <w:rsid w:val="4BBC17AA"/>
    <w:rsid w:val="4C910E89"/>
    <w:rsid w:val="4E772300"/>
    <w:rsid w:val="4F9A0054"/>
    <w:rsid w:val="4FFB7288"/>
    <w:rsid w:val="508605D9"/>
    <w:rsid w:val="52B23907"/>
    <w:rsid w:val="52CD24EF"/>
    <w:rsid w:val="52F85C23"/>
    <w:rsid w:val="54613836"/>
    <w:rsid w:val="550A5C7C"/>
    <w:rsid w:val="556A6DE4"/>
    <w:rsid w:val="56DB78D0"/>
    <w:rsid w:val="579B14B0"/>
    <w:rsid w:val="581A550C"/>
    <w:rsid w:val="58660766"/>
    <w:rsid w:val="591F781C"/>
    <w:rsid w:val="5AEB3E5A"/>
    <w:rsid w:val="5B6A1223"/>
    <w:rsid w:val="5B710B57"/>
    <w:rsid w:val="5CBE79BE"/>
    <w:rsid w:val="5D027239"/>
    <w:rsid w:val="5E5B67AC"/>
    <w:rsid w:val="5E8F1CD9"/>
    <w:rsid w:val="5F7F44B3"/>
    <w:rsid w:val="5F9C5723"/>
    <w:rsid w:val="619D21E2"/>
    <w:rsid w:val="61B04E50"/>
    <w:rsid w:val="62AE1C60"/>
    <w:rsid w:val="63476E6E"/>
    <w:rsid w:val="67641B12"/>
    <w:rsid w:val="67E021DE"/>
    <w:rsid w:val="69807E63"/>
    <w:rsid w:val="6AC132B4"/>
    <w:rsid w:val="6B1A2A71"/>
    <w:rsid w:val="6E5A6ED5"/>
    <w:rsid w:val="70374DA7"/>
    <w:rsid w:val="709E7A19"/>
    <w:rsid w:val="737F2B6A"/>
    <w:rsid w:val="75355CC4"/>
    <w:rsid w:val="76200A04"/>
    <w:rsid w:val="76C57FD0"/>
    <w:rsid w:val="774F3472"/>
    <w:rsid w:val="77FA5285"/>
    <w:rsid w:val="7A0E5017"/>
    <w:rsid w:val="7BE97AEA"/>
    <w:rsid w:val="7CE254FE"/>
    <w:rsid w:val="7D257E1F"/>
    <w:rsid w:val="7E374B3D"/>
    <w:rsid w:val="7E417769"/>
    <w:rsid w:val="7EEF3669"/>
    <w:rsid w:val="7F78540D"/>
    <w:rsid w:val="7FBD045A"/>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after="120"/>
      <w:ind w:left="420" w:leftChars="200"/>
    </w:p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8">
    <w:name w:val="annotation reference"/>
    <w:basedOn w:val="7"/>
    <w:qFormat/>
    <w:uiPriority w:val="0"/>
    <w:rPr>
      <w:sz w:val="21"/>
      <w:szCs w:val="21"/>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1">
    <w:name w:val="List Paragraph"/>
    <w:basedOn w:val="1"/>
    <w:qFormat/>
    <w:uiPriority w:val="99"/>
    <w:pPr>
      <w:ind w:firstLine="420" w:firstLineChars="200"/>
    </w:pPr>
  </w:style>
  <w:style w:type="character" w:customStyle="1" w:styleId="12">
    <w:name w:val="页眉 字符"/>
    <w:basedOn w:val="7"/>
    <w:link w:val="5"/>
    <w:qFormat/>
    <w:uiPriority w:val="0"/>
    <w:rPr>
      <w:rFonts w:ascii="Times New Roman" w:hAnsi="Times New Roman" w:eastAsia="宋体" w:cs="Times New Roman"/>
      <w:kern w:val="2"/>
      <w:sz w:val="18"/>
      <w:szCs w:val="18"/>
    </w:rPr>
  </w:style>
  <w:style w:type="character" w:customStyle="1" w:styleId="13">
    <w:name w:val="页脚 字符"/>
    <w:basedOn w:val="7"/>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5305</Words>
  <Characters>5421</Characters>
  <Lines>44</Lines>
  <Paragraphs>12</Paragraphs>
  <TotalTime>2</TotalTime>
  <ScaleCrop>false</ScaleCrop>
  <LinksUpToDate>false</LinksUpToDate>
  <CharactersWithSpaces>5469</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2023-04-23T04:46:00Z</dcterms:created>
  <dc:creator>Administrator</dc:creator>
  <cp:lastModifiedBy>梁磊</cp:lastModifiedBy>
  <dcterms:modified xsi:type="dcterms:W3CDTF">2023-07-09T02:24:45Z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E623EA0689A14E52980D37B20F5DFDC2</vt:lpwstr>
  </property>
</Properties>
</file>