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6"/>
          <w:szCs w:val="36"/>
        </w:rPr>
      </w:pPr>
      <w:r>
        <w:rPr>
          <w:b/>
          <w:sz w:val="36"/>
          <w:szCs w:val="36"/>
        </w:rPr>
        <w:t>北京市高等教育自学考试课程考试大纲</w:t>
      </w:r>
    </w:p>
    <w:p>
      <w:pPr>
        <w:spacing w:line="360" w:lineRule="auto"/>
        <w:ind w:firstLine="420"/>
        <w:jc w:val="center"/>
        <w:rPr>
          <w:sz w:val="36"/>
          <w:szCs w:val="36"/>
        </w:rPr>
      </w:pPr>
    </w:p>
    <w:p>
      <w:pPr>
        <w:spacing w:line="360" w:lineRule="auto"/>
        <w:ind w:left="4125" w:leftChars="107" w:hanging="3900" w:hangingChars="1850"/>
        <w:rPr>
          <w:rFonts w:ascii="宋体" w:hAnsi="宋体" w:cs="宋体"/>
          <w:b/>
          <w:bCs/>
          <w:szCs w:val="21"/>
        </w:rPr>
      </w:pPr>
      <w:r>
        <w:rPr>
          <w:rFonts w:hint="eastAsia" w:ascii="宋体" w:hAnsi="宋体" w:cs="宋体"/>
          <w:b/>
          <w:bCs/>
          <w:szCs w:val="21"/>
        </w:rPr>
        <w:t>课程名称：公共政策导论     课程代码：13672（笔试）         2024年3月版</w:t>
      </w:r>
    </w:p>
    <w:p>
      <w:pPr>
        <w:spacing w:line="360" w:lineRule="auto"/>
        <w:rPr>
          <w:rFonts w:ascii="宋体" w:hAnsi="宋体" w:cs="宋体"/>
          <w:szCs w:val="21"/>
        </w:rPr>
      </w:pPr>
    </w:p>
    <w:p>
      <w:pPr>
        <w:ind w:firstLine="420"/>
        <w:jc w:val="center"/>
        <w:rPr>
          <w:rFonts w:ascii="宋体" w:hAnsi="宋体" w:cs="宋体"/>
          <w:b/>
          <w:bCs/>
          <w:szCs w:val="21"/>
        </w:rPr>
      </w:pPr>
      <w:r>
        <w:rPr>
          <w:rFonts w:hint="eastAsia" w:ascii="宋体" w:hAnsi="宋体" w:cs="宋体"/>
          <w:b/>
          <w:bCs/>
          <w:szCs w:val="21"/>
        </w:rPr>
        <w:t>第一部分课程性质与设置目的</w:t>
      </w:r>
    </w:p>
    <w:p>
      <w:pPr>
        <w:spacing w:line="360" w:lineRule="auto"/>
        <w:rPr>
          <w:rFonts w:ascii="宋体" w:hAnsi="宋体" w:cs="宋体"/>
          <w:szCs w:val="21"/>
        </w:rPr>
      </w:pPr>
      <w:r>
        <w:rPr>
          <w:rFonts w:hint="eastAsia" w:ascii="宋体" w:hAnsi="宋体" w:cs="宋体"/>
          <w:b/>
          <w:bCs/>
          <w:szCs w:val="21"/>
        </w:rPr>
        <w:t>一、课程性质与特点</w:t>
      </w:r>
    </w:p>
    <w:p>
      <w:pPr>
        <w:spacing w:line="360" w:lineRule="auto"/>
        <w:ind w:firstLine="420" w:firstLineChars="200"/>
        <w:rPr>
          <w:rFonts w:ascii="宋体" w:hAnsi="宋体" w:cs="宋体"/>
          <w:szCs w:val="21"/>
        </w:rPr>
      </w:pPr>
      <w:r>
        <w:rPr>
          <w:rFonts w:hint="eastAsia" w:ascii="宋体" w:hAnsi="宋体" w:cs="宋体"/>
          <w:szCs w:val="21"/>
        </w:rPr>
        <w:t>《公共政策导论》是北京市高等教育自学考试公共事务管理（专科）专业的一门专业核心课程，是在完成公共基础课程学习后开设的选考课。《公共政策导论》涵盖公共政策的相关知识，是一门理论与实践相结合，综合性较强的专业课程。公共政策是指政府的行为（即政府选择做的事情），研究政府制定政策的能力、程序、方式及公共政策的质量等内容。本课程以公共政策过程为研究框架，系统阐述公共政策的基本理论和相关知识，分析了政策周期的一系列功能性活动，使学生厘清公共政策过程的基本脉络，达到对现实社会问题的理性观察与认识。</w:t>
      </w:r>
    </w:p>
    <w:p>
      <w:pPr>
        <w:spacing w:line="360" w:lineRule="auto"/>
        <w:rPr>
          <w:rFonts w:ascii="宋体" w:hAnsi="宋体" w:cs="宋体"/>
          <w:b/>
          <w:bCs/>
          <w:szCs w:val="21"/>
        </w:rPr>
      </w:pPr>
      <w:r>
        <w:rPr>
          <w:rFonts w:hint="eastAsia" w:ascii="宋体" w:hAnsi="宋体" w:cs="宋体"/>
          <w:b/>
          <w:bCs/>
          <w:szCs w:val="21"/>
        </w:rPr>
        <w:t>二、课程目标与基本要求</w:t>
      </w:r>
    </w:p>
    <w:p>
      <w:pPr>
        <w:spacing w:line="360" w:lineRule="auto"/>
        <w:ind w:firstLine="420" w:firstLineChars="200"/>
        <w:rPr>
          <w:rFonts w:ascii="宋体" w:hAnsi="宋体" w:cs="宋体"/>
          <w:szCs w:val="21"/>
        </w:rPr>
      </w:pPr>
      <w:r>
        <w:rPr>
          <w:rFonts w:hint="eastAsia" w:ascii="宋体" w:hAnsi="宋体" w:cs="宋体"/>
          <w:bCs/>
          <w:szCs w:val="21"/>
        </w:rPr>
        <w:t>本课程的目标是</w:t>
      </w:r>
      <w:r>
        <w:rPr>
          <w:rFonts w:hint="eastAsia" w:ascii="宋体" w:hAnsi="宋体" w:cs="宋体"/>
          <w:szCs w:val="21"/>
        </w:rPr>
        <w:t>全面贯彻落实立德树人根本任务，满足本专业培养具有较高的科学文化素养、职业道德水准、创新创业能力和社会责任感，能在教育、文化、体育、卫生、生态环境保护、社会保障等行业从事公共事业管理工作的应用型人才的相关知识要求，为以后学习本专业相关知识和从事相关工作打下坚实基础。</w:t>
      </w:r>
    </w:p>
    <w:p>
      <w:pPr>
        <w:spacing w:line="360" w:lineRule="auto"/>
        <w:ind w:firstLine="420" w:firstLineChars="200"/>
        <w:rPr>
          <w:rFonts w:ascii="宋体" w:hAnsi="宋体" w:cs="宋体"/>
          <w:szCs w:val="21"/>
        </w:rPr>
      </w:pPr>
      <w:r>
        <w:rPr>
          <w:rFonts w:hint="eastAsia" w:ascii="宋体" w:hAnsi="宋体" w:cs="宋体"/>
          <w:szCs w:val="21"/>
        </w:rPr>
        <w:t>本课程的基本要求是领会公共政策的知识框架，了解公共政策的基本研究领域，掌握公共政策的主要理论和方法。</w:t>
      </w:r>
    </w:p>
    <w:p>
      <w:pPr>
        <w:spacing w:line="360" w:lineRule="auto"/>
        <w:ind w:firstLine="420" w:firstLineChars="200"/>
        <w:rPr>
          <w:rFonts w:ascii="宋体" w:hAnsi="宋体" w:cs="宋体"/>
          <w:szCs w:val="21"/>
          <w:highlight w:val="yellow"/>
        </w:rPr>
      </w:pPr>
      <w:r>
        <w:rPr>
          <w:rFonts w:hint="eastAsia" w:ascii="宋体" w:hAnsi="宋体" w:cs="宋体"/>
          <w:szCs w:val="21"/>
        </w:rPr>
        <w:t>本课程的考核章节为第一到第八章，重点章节是：第二章，第三章，第四章，第五章，第六章，第七章，第八章。</w:t>
      </w:r>
    </w:p>
    <w:p>
      <w:pPr>
        <w:spacing w:line="360" w:lineRule="auto"/>
        <w:rPr>
          <w:rFonts w:ascii="宋体" w:hAnsi="宋体" w:cs="宋体"/>
          <w:b/>
          <w:bCs/>
          <w:szCs w:val="21"/>
        </w:rPr>
      </w:pPr>
      <w:r>
        <w:rPr>
          <w:rFonts w:hint="eastAsia" w:ascii="宋体" w:hAnsi="宋体" w:cs="宋体"/>
          <w:b/>
          <w:bCs/>
          <w:szCs w:val="21"/>
        </w:rPr>
        <w:t>三、与本专业其他课程的关系</w:t>
      </w:r>
    </w:p>
    <w:p>
      <w:pPr>
        <w:spacing w:line="360" w:lineRule="auto"/>
        <w:ind w:firstLine="420" w:firstLineChars="200"/>
        <w:rPr>
          <w:rFonts w:ascii="宋体" w:hAnsi="宋体" w:cs="宋体"/>
          <w:szCs w:val="21"/>
        </w:rPr>
      </w:pPr>
      <w:r>
        <w:rPr>
          <w:rFonts w:hint="eastAsia" w:ascii="宋体" w:hAnsi="宋体" w:cs="宋体"/>
          <w:szCs w:val="21"/>
        </w:rPr>
        <w:t>公共政策导论是公共事务管理（专科）的教学计划中被列为专业核心课，本课程与管理学原理、政治学概论、公共管理导论、行政法与行政诉讼法、管理心理学等课程之间有承前启后的相互联系作用的关系，是公共事务管理概论、人力资源管理、社会调查方法、社会工作实务、市政学、公共安全管理、公文写作与处理等课程的先导课，本课程的学习对全面掌握公共事务管理专业相关知识起重要的桥梁作用。</w:t>
      </w:r>
    </w:p>
    <w:p>
      <w:pPr>
        <w:ind w:firstLine="420"/>
        <w:jc w:val="center"/>
        <w:rPr>
          <w:rFonts w:ascii="宋体" w:hAnsi="宋体" w:cs="宋体"/>
          <w:b/>
          <w:bCs/>
          <w:szCs w:val="21"/>
        </w:rPr>
      </w:pPr>
      <w:r>
        <w:rPr>
          <w:rFonts w:hint="eastAsia" w:ascii="宋体" w:hAnsi="宋体" w:cs="宋体"/>
          <w:b/>
          <w:bCs/>
          <w:szCs w:val="21"/>
        </w:rPr>
        <w:t>第二部分考核内容与考核目标</w:t>
      </w:r>
    </w:p>
    <w:p>
      <w:pPr>
        <w:spacing w:line="360" w:lineRule="auto"/>
        <w:jc w:val="center"/>
        <w:rPr>
          <w:rFonts w:ascii="宋体" w:hAnsi="宋体" w:cs="宋体"/>
          <w:b/>
          <w:bCs/>
          <w:szCs w:val="21"/>
        </w:rPr>
      </w:pPr>
      <w:r>
        <w:rPr>
          <w:rFonts w:hint="eastAsia" w:ascii="宋体" w:hAnsi="宋体" w:cs="宋体"/>
          <w:b/>
          <w:bCs/>
          <w:szCs w:val="21"/>
        </w:rPr>
        <w:t>第一章 绪论</w:t>
      </w:r>
    </w:p>
    <w:p>
      <w:pPr>
        <w:spacing w:line="360" w:lineRule="auto"/>
        <w:rPr>
          <w:rFonts w:ascii="宋体" w:hAnsi="宋体" w:cs="宋体"/>
          <w:b/>
          <w:bCs/>
          <w:szCs w:val="21"/>
        </w:rPr>
      </w:pPr>
      <w:r>
        <w:rPr>
          <w:rFonts w:hint="eastAsia" w:ascii="宋体" w:hAnsi="宋体" w:cs="宋体"/>
          <w:b/>
          <w:bCs/>
          <w:szCs w:val="21"/>
        </w:rPr>
        <w:t>一、学习目的与要求</w:t>
      </w:r>
    </w:p>
    <w:p>
      <w:pPr>
        <w:spacing w:line="360" w:lineRule="auto"/>
        <w:ind w:firstLine="420" w:firstLineChars="200"/>
        <w:rPr>
          <w:rFonts w:ascii="宋体" w:hAnsi="宋体" w:cs="宋体"/>
          <w:szCs w:val="21"/>
        </w:rPr>
      </w:pPr>
      <w:r>
        <w:rPr>
          <w:rFonts w:hint="eastAsia" w:ascii="宋体" w:hAnsi="宋体" w:cs="宋体"/>
          <w:szCs w:val="21"/>
        </w:rPr>
        <w:t>通过本章的学习，应该明确公共政策的基本含义以及研究公共政策的原因，理解公共物品、公共职能、公共问题、公共利益、公共权力、公共秩序、公共治理这些与公共政策相关的概念，掌握政治行动的基本理论及其对公共政策的影响，了解经济自由主义和国家干预主义的基本观点,认识公共政策的伦理基础。</w:t>
      </w:r>
    </w:p>
    <w:p>
      <w:pPr>
        <w:numPr>
          <w:ilvl w:val="0"/>
          <w:numId w:val="1"/>
        </w:numPr>
        <w:spacing w:line="360" w:lineRule="auto"/>
        <w:rPr>
          <w:rFonts w:ascii="宋体" w:hAnsi="宋体" w:cs="宋体"/>
          <w:b/>
          <w:bCs/>
          <w:szCs w:val="21"/>
        </w:rPr>
      </w:pPr>
      <w:r>
        <w:rPr>
          <w:rFonts w:hint="eastAsia" w:ascii="宋体" w:hAnsi="宋体" w:cs="宋体"/>
          <w:b/>
          <w:bCs/>
          <w:szCs w:val="21"/>
        </w:rPr>
        <w:t>考核知识点与考核目标</w:t>
      </w:r>
    </w:p>
    <w:p>
      <w:pPr>
        <w:numPr>
          <w:ilvl w:val="0"/>
          <w:numId w:val="2"/>
        </w:numPr>
        <w:spacing w:line="360" w:lineRule="auto"/>
        <w:jc w:val="left"/>
        <w:rPr>
          <w:rFonts w:ascii="宋体" w:hAnsi="宋体" w:cs="宋体"/>
          <w:szCs w:val="21"/>
        </w:rPr>
      </w:pPr>
      <w:r>
        <w:rPr>
          <w:rFonts w:hint="eastAsia" w:ascii="宋体" w:hAnsi="宋体" w:cs="宋体"/>
          <w:szCs w:val="21"/>
        </w:rPr>
        <w:t>公共政策的含义</w:t>
      </w:r>
    </w:p>
    <w:p>
      <w:pPr>
        <w:spacing w:line="360" w:lineRule="auto"/>
        <w:ind w:firstLine="630" w:firstLineChars="300"/>
        <w:rPr>
          <w:rFonts w:ascii="宋体" w:hAnsi="宋体" w:cs="宋体"/>
          <w:bCs/>
          <w:szCs w:val="21"/>
        </w:rPr>
      </w:pPr>
      <w:r>
        <w:rPr>
          <w:rFonts w:hint="eastAsia" w:ascii="宋体" w:hAnsi="宋体" w:cs="宋体"/>
          <w:bCs/>
          <w:szCs w:val="21"/>
        </w:rPr>
        <w:t>识记：公共政策的概念</w:t>
      </w:r>
    </w:p>
    <w:p>
      <w:pPr>
        <w:numPr>
          <w:ilvl w:val="0"/>
          <w:numId w:val="2"/>
        </w:numPr>
        <w:spacing w:line="360" w:lineRule="auto"/>
        <w:jc w:val="left"/>
        <w:rPr>
          <w:rFonts w:ascii="宋体" w:hAnsi="宋体" w:cs="宋体"/>
          <w:szCs w:val="21"/>
        </w:rPr>
      </w:pPr>
      <w:r>
        <w:rPr>
          <w:rFonts w:hint="eastAsia" w:ascii="宋体" w:hAnsi="宋体" w:cs="宋体"/>
          <w:szCs w:val="21"/>
        </w:rPr>
        <w:t>为什么要研究公共政策</w:t>
      </w:r>
    </w:p>
    <w:p>
      <w:pPr>
        <w:spacing w:line="360" w:lineRule="auto"/>
        <w:ind w:firstLine="630" w:firstLineChars="300"/>
        <w:rPr>
          <w:rFonts w:ascii="宋体" w:hAnsi="宋体" w:cs="宋体"/>
          <w:bCs/>
          <w:szCs w:val="21"/>
        </w:rPr>
      </w:pPr>
      <w:r>
        <w:rPr>
          <w:rFonts w:hint="eastAsia" w:ascii="宋体" w:hAnsi="宋体" w:cs="宋体"/>
          <w:bCs/>
          <w:szCs w:val="21"/>
        </w:rPr>
        <w:t>理解：研究公共政策的缘由（科学、专业、政治）</w:t>
      </w:r>
    </w:p>
    <w:p>
      <w:pPr>
        <w:numPr>
          <w:ilvl w:val="0"/>
          <w:numId w:val="2"/>
        </w:numPr>
        <w:spacing w:line="360" w:lineRule="auto"/>
        <w:jc w:val="left"/>
        <w:rPr>
          <w:rFonts w:ascii="宋体" w:hAnsi="宋体" w:cs="宋体"/>
          <w:szCs w:val="21"/>
        </w:rPr>
      </w:pPr>
      <w:r>
        <w:rPr>
          <w:rFonts w:hint="eastAsia" w:ascii="宋体" w:hAnsi="宋体" w:cs="宋体"/>
          <w:szCs w:val="21"/>
        </w:rPr>
        <w:t>公共与私人———从公共角度理解公共政策</w:t>
      </w:r>
    </w:p>
    <w:p>
      <w:pPr>
        <w:spacing w:line="360" w:lineRule="auto"/>
        <w:ind w:firstLine="630" w:firstLineChars="300"/>
        <w:rPr>
          <w:rFonts w:ascii="宋体" w:hAnsi="宋体" w:cs="宋体"/>
          <w:bCs/>
          <w:szCs w:val="21"/>
        </w:rPr>
      </w:pPr>
      <w:r>
        <w:rPr>
          <w:rFonts w:hint="eastAsia" w:ascii="宋体" w:hAnsi="宋体" w:cs="宋体"/>
          <w:bCs/>
          <w:szCs w:val="21"/>
        </w:rPr>
        <w:t>识记：公共、公共物品、准公共物品的概念</w:t>
      </w:r>
    </w:p>
    <w:p>
      <w:pPr>
        <w:spacing w:line="360" w:lineRule="auto"/>
        <w:ind w:firstLine="630" w:firstLineChars="300"/>
        <w:rPr>
          <w:rFonts w:ascii="宋体" w:hAnsi="宋体" w:cs="宋体"/>
          <w:bCs/>
          <w:szCs w:val="21"/>
        </w:rPr>
      </w:pPr>
      <w:r>
        <w:rPr>
          <w:rFonts w:hint="eastAsia" w:ascii="宋体" w:hAnsi="宋体" w:cs="宋体"/>
          <w:bCs/>
          <w:szCs w:val="21"/>
        </w:rPr>
        <w:t>理解：公共职能、公共问题、公共利益、公共权力、公共秩序、公共治理</w:t>
      </w:r>
    </w:p>
    <w:p>
      <w:pPr>
        <w:numPr>
          <w:ilvl w:val="0"/>
          <w:numId w:val="2"/>
        </w:numPr>
        <w:spacing w:line="360" w:lineRule="auto"/>
        <w:jc w:val="left"/>
        <w:rPr>
          <w:rFonts w:ascii="宋体" w:hAnsi="宋体" w:cs="宋体"/>
          <w:szCs w:val="21"/>
        </w:rPr>
      </w:pPr>
      <w:r>
        <w:rPr>
          <w:rFonts w:hint="eastAsia" w:ascii="宋体" w:hAnsi="宋体" w:cs="宋体"/>
          <w:szCs w:val="21"/>
        </w:rPr>
        <w:t>政治与政策———从政治角度理解公共政策</w:t>
      </w:r>
    </w:p>
    <w:p>
      <w:pPr>
        <w:spacing w:line="360" w:lineRule="auto"/>
        <w:ind w:firstLine="630" w:firstLineChars="300"/>
        <w:rPr>
          <w:rFonts w:ascii="宋体" w:hAnsi="宋体" w:cs="宋体"/>
          <w:bCs/>
          <w:szCs w:val="21"/>
        </w:rPr>
      </w:pPr>
      <w:r>
        <w:rPr>
          <w:rFonts w:hint="eastAsia" w:ascii="宋体" w:hAnsi="宋体" w:cs="宋体"/>
          <w:bCs/>
          <w:szCs w:val="21"/>
        </w:rPr>
        <w:t>识记：公共政策的概念</w:t>
      </w:r>
    </w:p>
    <w:p>
      <w:pPr>
        <w:spacing w:line="360" w:lineRule="auto"/>
        <w:ind w:firstLine="630" w:firstLineChars="300"/>
        <w:rPr>
          <w:rFonts w:ascii="宋体" w:hAnsi="宋体" w:cs="宋体"/>
          <w:bCs/>
          <w:szCs w:val="21"/>
        </w:rPr>
      </w:pPr>
      <w:r>
        <w:rPr>
          <w:rFonts w:hint="eastAsia" w:ascii="宋体" w:hAnsi="宋体" w:cs="宋体"/>
          <w:bCs/>
          <w:szCs w:val="21"/>
        </w:rPr>
        <w:t>理解：政治行动的类型、政治三个层面及其公共政策的关系</w:t>
      </w:r>
    </w:p>
    <w:p>
      <w:pPr>
        <w:numPr>
          <w:ilvl w:val="0"/>
          <w:numId w:val="2"/>
        </w:numPr>
        <w:spacing w:line="360" w:lineRule="auto"/>
        <w:jc w:val="left"/>
        <w:rPr>
          <w:rFonts w:ascii="宋体" w:hAnsi="宋体" w:cs="宋体"/>
          <w:szCs w:val="21"/>
        </w:rPr>
      </w:pPr>
      <w:r>
        <w:rPr>
          <w:rFonts w:hint="eastAsia" w:ascii="宋体" w:hAnsi="宋体" w:cs="宋体"/>
          <w:szCs w:val="21"/>
        </w:rPr>
        <w:t>市场与政策———从市场角度理解公共政策</w:t>
      </w:r>
    </w:p>
    <w:p>
      <w:pPr>
        <w:spacing w:line="360" w:lineRule="auto"/>
        <w:ind w:firstLine="630" w:firstLineChars="300"/>
        <w:rPr>
          <w:rFonts w:ascii="宋体" w:hAnsi="宋体" w:cs="宋体"/>
          <w:bCs/>
          <w:szCs w:val="21"/>
        </w:rPr>
      </w:pPr>
      <w:r>
        <w:rPr>
          <w:rFonts w:hint="eastAsia" w:ascii="宋体" w:hAnsi="宋体" w:cs="宋体"/>
          <w:bCs/>
          <w:szCs w:val="21"/>
        </w:rPr>
        <w:t>理解：西方经济学“自由主义”和“政府干预”</w:t>
      </w:r>
    </w:p>
    <w:p>
      <w:pPr>
        <w:numPr>
          <w:ilvl w:val="0"/>
          <w:numId w:val="2"/>
        </w:numPr>
        <w:spacing w:line="360" w:lineRule="auto"/>
        <w:jc w:val="left"/>
        <w:rPr>
          <w:rFonts w:ascii="宋体" w:hAnsi="宋体" w:cs="宋体"/>
          <w:szCs w:val="21"/>
        </w:rPr>
      </w:pPr>
      <w:r>
        <w:rPr>
          <w:rFonts w:hint="eastAsia" w:ascii="宋体" w:hAnsi="宋体" w:cs="宋体"/>
          <w:szCs w:val="21"/>
        </w:rPr>
        <w:t>伦理与政策———从伦理角度理解公共政策</w:t>
      </w:r>
    </w:p>
    <w:p>
      <w:pPr>
        <w:spacing w:line="360" w:lineRule="auto"/>
        <w:ind w:firstLine="630" w:firstLineChars="300"/>
        <w:rPr>
          <w:rFonts w:ascii="宋体" w:hAnsi="宋体" w:cs="宋体"/>
          <w:bCs/>
          <w:szCs w:val="21"/>
        </w:rPr>
      </w:pPr>
      <w:r>
        <w:rPr>
          <w:rFonts w:hint="eastAsia" w:ascii="宋体" w:hAnsi="宋体" w:cs="宋体"/>
          <w:bCs/>
          <w:szCs w:val="21"/>
        </w:rPr>
        <w:t>理解：政策制定与政策执行的道德特征</w:t>
      </w:r>
    </w:p>
    <w:p>
      <w:pPr>
        <w:spacing w:line="360" w:lineRule="auto"/>
        <w:ind w:firstLine="630" w:firstLineChars="300"/>
        <w:rPr>
          <w:rFonts w:ascii="宋体" w:hAnsi="宋体" w:cs="宋体"/>
          <w:bCs/>
          <w:szCs w:val="21"/>
        </w:rPr>
      </w:pPr>
      <w:r>
        <w:rPr>
          <w:rFonts w:hint="eastAsia" w:ascii="宋体" w:hAnsi="宋体" w:cs="宋体"/>
          <w:bCs/>
          <w:szCs w:val="21"/>
        </w:rPr>
        <w:t>应用：开展公共政策的伦理分析</w:t>
      </w:r>
    </w:p>
    <w:p>
      <w:pPr>
        <w:spacing w:line="360" w:lineRule="auto"/>
        <w:jc w:val="center"/>
        <w:rPr>
          <w:rFonts w:ascii="宋体" w:hAnsi="宋体" w:cs="宋体"/>
          <w:b/>
          <w:bCs/>
          <w:szCs w:val="21"/>
        </w:rPr>
      </w:pPr>
      <w:r>
        <w:rPr>
          <w:rFonts w:hint="eastAsia" w:ascii="宋体" w:hAnsi="宋体" w:cs="宋体"/>
          <w:b/>
          <w:bCs/>
          <w:szCs w:val="21"/>
        </w:rPr>
        <w:t>第二章 公共政策的形式、类型、特征与作用</w:t>
      </w:r>
    </w:p>
    <w:p>
      <w:pPr>
        <w:spacing w:line="360" w:lineRule="auto"/>
        <w:rPr>
          <w:rFonts w:ascii="宋体" w:hAnsi="宋体" w:cs="宋体"/>
          <w:b/>
          <w:bCs/>
          <w:szCs w:val="21"/>
        </w:rPr>
      </w:pPr>
      <w:r>
        <w:rPr>
          <w:rFonts w:hint="eastAsia" w:ascii="宋体" w:hAnsi="宋体" w:cs="宋体"/>
          <w:b/>
          <w:bCs/>
          <w:szCs w:val="21"/>
        </w:rPr>
        <w:t>一、学习目的与要求</w:t>
      </w:r>
    </w:p>
    <w:p>
      <w:pPr>
        <w:spacing w:line="360" w:lineRule="auto"/>
        <w:ind w:firstLine="420" w:firstLineChars="200"/>
        <w:rPr>
          <w:rFonts w:ascii="宋体" w:hAnsi="宋体" w:cs="宋体"/>
          <w:szCs w:val="21"/>
        </w:rPr>
      </w:pPr>
      <w:r>
        <w:rPr>
          <w:rFonts w:hint="eastAsia" w:ascii="宋体" w:hAnsi="宋体" w:cs="宋体"/>
          <w:szCs w:val="21"/>
        </w:rPr>
        <w:t>通过本章的学习，应该明确公共政策的基本性质，认识公共政策在不同政治体制中的表现形式，掌握公共政策的基本类型，了解公共政策的主要特征，并在此基础上理解公共政策的重要作用。</w:t>
      </w:r>
    </w:p>
    <w:p>
      <w:pPr>
        <w:spacing w:line="360" w:lineRule="auto"/>
        <w:rPr>
          <w:rFonts w:ascii="宋体" w:hAnsi="宋体" w:cs="宋体"/>
          <w:b/>
          <w:bCs/>
          <w:szCs w:val="21"/>
        </w:rPr>
      </w:pPr>
      <w:r>
        <w:rPr>
          <w:rFonts w:hint="eastAsia" w:ascii="宋体" w:hAnsi="宋体" w:cs="宋体"/>
          <w:b/>
          <w:bCs/>
          <w:szCs w:val="21"/>
        </w:rPr>
        <w:t>二、考核知识点与考核目标</w:t>
      </w:r>
    </w:p>
    <w:p>
      <w:pPr>
        <w:numPr>
          <w:ilvl w:val="0"/>
          <w:numId w:val="3"/>
        </w:numPr>
        <w:spacing w:line="360" w:lineRule="auto"/>
        <w:rPr>
          <w:rFonts w:ascii="宋体" w:hAnsi="宋体" w:cs="宋体"/>
          <w:bCs/>
          <w:szCs w:val="21"/>
        </w:rPr>
      </w:pPr>
      <w:r>
        <w:rPr>
          <w:rFonts w:hint="eastAsia" w:ascii="宋体" w:hAnsi="宋体" w:cs="宋体"/>
          <w:bCs/>
          <w:szCs w:val="21"/>
        </w:rPr>
        <w:t>公共政策的表现形式</w:t>
      </w:r>
    </w:p>
    <w:p>
      <w:pPr>
        <w:spacing w:line="360" w:lineRule="auto"/>
        <w:ind w:left="1348" w:leftChars="342" w:hanging="630" w:hangingChars="300"/>
        <w:rPr>
          <w:rFonts w:ascii="宋体" w:hAnsi="宋体" w:cs="宋体"/>
          <w:bCs/>
          <w:szCs w:val="21"/>
        </w:rPr>
      </w:pPr>
      <w:r>
        <w:rPr>
          <w:rFonts w:hint="eastAsia" w:ascii="宋体" w:hAnsi="宋体" w:cs="宋体"/>
          <w:bCs/>
          <w:szCs w:val="21"/>
        </w:rPr>
        <w:t>理解：西方国家三权分立体制下的公共政策、中国现行政治体制下的公共政策、全民公决</w:t>
      </w:r>
    </w:p>
    <w:p>
      <w:pPr>
        <w:numPr>
          <w:ilvl w:val="0"/>
          <w:numId w:val="3"/>
        </w:numPr>
        <w:spacing w:line="360" w:lineRule="auto"/>
        <w:rPr>
          <w:rFonts w:ascii="宋体" w:hAnsi="宋体" w:cs="宋体"/>
          <w:bCs/>
          <w:szCs w:val="21"/>
        </w:rPr>
      </w:pPr>
      <w:r>
        <w:rPr>
          <w:rFonts w:hint="eastAsia" w:ascii="宋体" w:hAnsi="宋体" w:cs="宋体"/>
          <w:bCs/>
          <w:szCs w:val="21"/>
        </w:rPr>
        <w:t>公共政策的类型</w:t>
      </w:r>
    </w:p>
    <w:p>
      <w:pPr>
        <w:spacing w:line="360" w:lineRule="auto"/>
        <w:ind w:left="1348" w:leftChars="342" w:hanging="630" w:hangingChars="300"/>
        <w:rPr>
          <w:rFonts w:ascii="宋体" w:hAnsi="宋体" w:cs="宋体"/>
          <w:bCs/>
          <w:szCs w:val="21"/>
        </w:rPr>
      </w:pPr>
      <w:r>
        <w:rPr>
          <w:rFonts w:hint="eastAsia" w:ascii="宋体" w:hAnsi="宋体" w:cs="宋体"/>
          <w:bCs/>
          <w:szCs w:val="21"/>
        </w:rPr>
        <w:t>理解：实质性政策和程序性政策、管制性政策和自我管制性政策、物质性政策和象征性政策、涉公政策和涉私政策</w:t>
      </w:r>
    </w:p>
    <w:p>
      <w:pPr>
        <w:spacing w:line="360" w:lineRule="auto"/>
        <w:ind w:left="1348" w:leftChars="342" w:hanging="630" w:hangingChars="300"/>
        <w:rPr>
          <w:rFonts w:ascii="宋体" w:hAnsi="宋体" w:cs="宋体"/>
          <w:bCs/>
          <w:szCs w:val="21"/>
        </w:rPr>
      </w:pPr>
      <w:r>
        <w:rPr>
          <w:rFonts w:hint="eastAsia" w:ascii="宋体" w:hAnsi="宋体" w:cs="宋体"/>
          <w:bCs/>
          <w:szCs w:val="21"/>
        </w:rPr>
        <w:t>应用：开展分配性政策和再分配性政策分析</w:t>
      </w:r>
    </w:p>
    <w:p>
      <w:pPr>
        <w:spacing w:line="360" w:lineRule="auto"/>
        <w:rPr>
          <w:rFonts w:ascii="宋体" w:hAnsi="宋体" w:cs="宋体"/>
          <w:bCs/>
          <w:szCs w:val="21"/>
        </w:rPr>
      </w:pPr>
      <w:r>
        <w:rPr>
          <w:rFonts w:hint="eastAsia" w:ascii="宋体" w:hAnsi="宋体" w:cs="宋体"/>
          <w:bCs/>
          <w:szCs w:val="21"/>
        </w:rPr>
        <w:t>（三）公共政策的特征与作用</w:t>
      </w:r>
    </w:p>
    <w:p>
      <w:pPr>
        <w:spacing w:line="360" w:lineRule="auto"/>
        <w:ind w:firstLine="630" w:firstLineChars="300"/>
        <w:rPr>
          <w:rFonts w:ascii="宋体" w:hAnsi="宋体" w:cs="宋体"/>
          <w:bCs/>
          <w:szCs w:val="21"/>
        </w:rPr>
      </w:pPr>
      <w:r>
        <w:rPr>
          <w:rFonts w:hint="eastAsia" w:ascii="宋体" w:hAnsi="宋体" w:cs="宋体"/>
          <w:bCs/>
          <w:szCs w:val="21"/>
        </w:rPr>
        <w:t>识记：公共政策的特征</w:t>
      </w:r>
    </w:p>
    <w:p>
      <w:pPr>
        <w:spacing w:line="360" w:lineRule="auto"/>
        <w:ind w:firstLine="630" w:firstLineChars="300"/>
        <w:rPr>
          <w:rFonts w:ascii="宋体" w:hAnsi="宋体" w:cs="宋体"/>
          <w:bCs/>
          <w:szCs w:val="21"/>
        </w:rPr>
      </w:pPr>
      <w:r>
        <w:rPr>
          <w:rFonts w:hint="eastAsia" w:ascii="宋体" w:hAnsi="宋体" w:cs="宋体"/>
          <w:bCs/>
          <w:szCs w:val="21"/>
        </w:rPr>
        <w:t>理解：公共政策的作用，导向功能，管制功能，调控功能，分配功能</w:t>
      </w:r>
    </w:p>
    <w:p>
      <w:pPr>
        <w:spacing w:line="360" w:lineRule="auto"/>
        <w:ind w:firstLine="630" w:firstLineChars="300"/>
        <w:rPr>
          <w:rFonts w:ascii="宋体" w:hAnsi="宋体" w:cs="宋体"/>
          <w:bCs/>
          <w:szCs w:val="21"/>
        </w:rPr>
      </w:pPr>
      <w:r>
        <w:rPr>
          <w:rFonts w:hint="eastAsia" w:ascii="宋体" w:hAnsi="宋体" w:cs="宋体"/>
          <w:bCs/>
          <w:szCs w:val="21"/>
        </w:rPr>
        <w:t>应用：开展公共政策的作用分析</w:t>
      </w:r>
    </w:p>
    <w:p>
      <w:pPr>
        <w:spacing w:line="360" w:lineRule="auto"/>
        <w:jc w:val="center"/>
        <w:rPr>
          <w:rFonts w:ascii="宋体" w:hAnsi="宋体" w:cs="宋体"/>
          <w:b/>
          <w:bCs/>
          <w:szCs w:val="21"/>
        </w:rPr>
      </w:pPr>
      <w:r>
        <w:rPr>
          <w:rFonts w:hint="eastAsia" w:ascii="宋体" w:hAnsi="宋体" w:cs="宋体"/>
          <w:b/>
          <w:bCs/>
          <w:szCs w:val="21"/>
        </w:rPr>
        <w:t>第三章 政策主体、政策客体与政策环境</w:t>
      </w:r>
    </w:p>
    <w:p>
      <w:pPr>
        <w:spacing w:line="360" w:lineRule="auto"/>
        <w:rPr>
          <w:rFonts w:ascii="宋体" w:hAnsi="宋体" w:cs="宋体"/>
          <w:b/>
          <w:bCs/>
          <w:szCs w:val="21"/>
        </w:rPr>
      </w:pPr>
      <w:r>
        <w:rPr>
          <w:rFonts w:hint="eastAsia" w:ascii="宋体" w:hAnsi="宋体" w:cs="宋体"/>
          <w:b/>
          <w:bCs/>
          <w:szCs w:val="21"/>
        </w:rPr>
        <w:t>一、学习目的与要求</w:t>
      </w:r>
    </w:p>
    <w:p>
      <w:pPr>
        <w:spacing w:line="360" w:lineRule="auto"/>
        <w:ind w:firstLine="420" w:firstLineChars="200"/>
        <w:rPr>
          <w:rFonts w:ascii="宋体" w:hAnsi="宋体" w:cs="宋体"/>
          <w:szCs w:val="21"/>
        </w:rPr>
      </w:pPr>
      <w:r>
        <w:rPr>
          <w:rFonts w:hint="eastAsia" w:ascii="宋体" w:hAnsi="宋体" w:cs="宋体"/>
          <w:szCs w:val="21"/>
        </w:rPr>
        <w:t>通过本章的学习，应了解公共政策制定主体的不同类型及作用，掌握社会问题的类型，特征及理论，理解目标群体政策认同和政策抗拒的缘由，认识公共政策的环境要素及其影响。</w:t>
      </w:r>
    </w:p>
    <w:p>
      <w:pPr>
        <w:spacing w:line="360" w:lineRule="auto"/>
        <w:rPr>
          <w:rFonts w:ascii="宋体" w:hAnsi="宋体" w:cs="宋体"/>
          <w:b/>
          <w:bCs/>
          <w:szCs w:val="21"/>
        </w:rPr>
      </w:pPr>
      <w:r>
        <w:rPr>
          <w:rFonts w:hint="eastAsia" w:ascii="宋体" w:hAnsi="宋体" w:cs="宋体"/>
          <w:b/>
          <w:bCs/>
          <w:szCs w:val="21"/>
        </w:rPr>
        <w:t>二、考核知识点与考核目标</w:t>
      </w:r>
    </w:p>
    <w:p>
      <w:pPr>
        <w:numPr>
          <w:ilvl w:val="0"/>
          <w:numId w:val="4"/>
        </w:numPr>
        <w:spacing w:line="360" w:lineRule="auto"/>
        <w:rPr>
          <w:rFonts w:ascii="宋体" w:hAnsi="宋体" w:cs="宋体"/>
          <w:bCs/>
          <w:szCs w:val="21"/>
        </w:rPr>
      </w:pPr>
      <w:r>
        <w:rPr>
          <w:rFonts w:hint="eastAsia" w:ascii="宋体" w:hAnsi="宋体" w:cs="宋体"/>
          <w:bCs/>
          <w:szCs w:val="21"/>
        </w:rPr>
        <w:t>政策主体</w:t>
      </w:r>
    </w:p>
    <w:p>
      <w:pPr>
        <w:spacing w:line="360" w:lineRule="auto"/>
        <w:ind w:firstLine="630" w:firstLineChars="300"/>
        <w:rPr>
          <w:rFonts w:ascii="宋体" w:hAnsi="宋体" w:cs="宋体"/>
          <w:bCs/>
          <w:szCs w:val="21"/>
        </w:rPr>
      </w:pPr>
      <w:r>
        <w:rPr>
          <w:rFonts w:hint="eastAsia" w:ascii="宋体" w:hAnsi="宋体" w:cs="宋体"/>
          <w:bCs/>
          <w:szCs w:val="21"/>
        </w:rPr>
        <w:t>识记：官方决策者、非官方参与者的概念和类型</w:t>
      </w:r>
    </w:p>
    <w:p>
      <w:pPr>
        <w:spacing w:line="360" w:lineRule="auto"/>
        <w:ind w:firstLine="630" w:firstLineChars="300"/>
        <w:rPr>
          <w:rFonts w:ascii="宋体" w:hAnsi="宋体" w:cs="宋体"/>
          <w:bCs/>
          <w:szCs w:val="21"/>
        </w:rPr>
      </w:pPr>
      <w:r>
        <w:rPr>
          <w:rFonts w:hint="eastAsia" w:ascii="宋体" w:hAnsi="宋体" w:cs="宋体"/>
          <w:bCs/>
          <w:szCs w:val="21"/>
        </w:rPr>
        <w:t>理解：官方决策者，立法机关、法院、行政决策机关、行政执行机关等各种类型的特</w:t>
      </w:r>
    </w:p>
    <w:p>
      <w:pPr>
        <w:spacing w:line="360" w:lineRule="auto"/>
        <w:ind w:left="1260" w:leftChars="600"/>
        <w:rPr>
          <w:rFonts w:ascii="宋体" w:hAnsi="宋体" w:cs="宋体"/>
          <w:bCs/>
          <w:szCs w:val="21"/>
        </w:rPr>
      </w:pPr>
      <w:r>
        <w:rPr>
          <w:rFonts w:hint="eastAsia" w:ascii="宋体" w:hAnsi="宋体" w:cs="宋体"/>
          <w:bCs/>
          <w:szCs w:val="21"/>
        </w:rPr>
        <w:t>点。非官方参与者中公民参与政策制定过程的途径，大众传媒：“第四种权力”思想库的类型等各种类型的特点</w:t>
      </w:r>
    </w:p>
    <w:p>
      <w:pPr>
        <w:numPr>
          <w:ilvl w:val="0"/>
          <w:numId w:val="4"/>
        </w:numPr>
        <w:spacing w:line="360" w:lineRule="auto"/>
        <w:rPr>
          <w:rFonts w:ascii="宋体" w:hAnsi="宋体" w:cs="宋体"/>
          <w:bCs/>
          <w:szCs w:val="21"/>
        </w:rPr>
      </w:pPr>
      <w:r>
        <w:rPr>
          <w:rFonts w:hint="eastAsia" w:ascii="宋体" w:hAnsi="宋体" w:cs="宋体"/>
          <w:bCs/>
          <w:szCs w:val="21"/>
        </w:rPr>
        <w:t>政策客体</w:t>
      </w:r>
    </w:p>
    <w:p>
      <w:pPr>
        <w:spacing w:line="360" w:lineRule="auto"/>
        <w:ind w:firstLine="630" w:firstLineChars="300"/>
        <w:rPr>
          <w:rFonts w:ascii="宋体" w:hAnsi="宋体" w:cs="宋体"/>
          <w:bCs/>
          <w:szCs w:val="21"/>
        </w:rPr>
      </w:pPr>
      <w:r>
        <w:rPr>
          <w:rFonts w:hint="eastAsia" w:ascii="宋体" w:hAnsi="宋体" w:cs="宋体"/>
          <w:bCs/>
          <w:szCs w:val="21"/>
        </w:rPr>
        <w:t>识记：社会问题、政策问题、目标群体的概念</w:t>
      </w:r>
    </w:p>
    <w:p>
      <w:pPr>
        <w:spacing w:line="360" w:lineRule="auto"/>
        <w:ind w:firstLine="630" w:firstLineChars="300"/>
        <w:rPr>
          <w:rFonts w:ascii="宋体" w:hAnsi="宋体" w:cs="宋体"/>
          <w:bCs/>
          <w:szCs w:val="21"/>
        </w:rPr>
      </w:pPr>
      <w:r>
        <w:rPr>
          <w:rFonts w:hint="eastAsia" w:ascii="宋体" w:hAnsi="宋体" w:cs="宋体"/>
          <w:bCs/>
          <w:szCs w:val="21"/>
        </w:rPr>
        <w:t>理解：社会问题的特征、目标群体对政策的态度</w:t>
      </w:r>
    </w:p>
    <w:p>
      <w:pPr>
        <w:spacing w:line="360" w:lineRule="auto"/>
        <w:ind w:firstLine="630" w:firstLineChars="300"/>
        <w:rPr>
          <w:rFonts w:ascii="宋体" w:hAnsi="宋体" w:cs="宋体"/>
          <w:bCs/>
          <w:szCs w:val="21"/>
        </w:rPr>
      </w:pPr>
      <w:r>
        <w:rPr>
          <w:rFonts w:hint="eastAsia" w:ascii="宋体" w:hAnsi="宋体" w:cs="宋体"/>
          <w:bCs/>
          <w:szCs w:val="21"/>
        </w:rPr>
        <w:t>应用：开展目标群体的态度对公共政策的影响分析</w:t>
      </w:r>
    </w:p>
    <w:p>
      <w:pPr>
        <w:spacing w:line="360" w:lineRule="auto"/>
        <w:rPr>
          <w:rFonts w:ascii="宋体" w:hAnsi="宋体" w:cs="宋体"/>
          <w:bCs/>
          <w:szCs w:val="21"/>
        </w:rPr>
      </w:pPr>
      <w:r>
        <w:rPr>
          <w:rFonts w:hint="eastAsia" w:ascii="宋体" w:hAnsi="宋体" w:cs="宋体"/>
          <w:bCs/>
          <w:szCs w:val="21"/>
        </w:rPr>
        <w:t>（三）政策环境</w:t>
      </w:r>
    </w:p>
    <w:p>
      <w:pPr>
        <w:spacing w:line="360" w:lineRule="auto"/>
        <w:ind w:firstLine="630" w:firstLineChars="300"/>
        <w:rPr>
          <w:rFonts w:ascii="宋体" w:hAnsi="宋体" w:cs="宋体"/>
          <w:bCs/>
          <w:szCs w:val="21"/>
        </w:rPr>
      </w:pPr>
      <w:r>
        <w:rPr>
          <w:rFonts w:hint="eastAsia" w:ascii="宋体" w:hAnsi="宋体" w:cs="宋体"/>
          <w:bCs/>
          <w:szCs w:val="21"/>
        </w:rPr>
        <w:t>识记：环境、生态、政策环境的概念</w:t>
      </w:r>
    </w:p>
    <w:p>
      <w:pPr>
        <w:spacing w:line="360" w:lineRule="auto"/>
        <w:ind w:firstLine="630" w:firstLineChars="300"/>
        <w:rPr>
          <w:rFonts w:ascii="宋体" w:hAnsi="宋体" w:cs="宋体"/>
          <w:bCs/>
          <w:szCs w:val="21"/>
        </w:rPr>
      </w:pPr>
      <w:r>
        <w:rPr>
          <w:rFonts w:hint="eastAsia" w:ascii="宋体" w:hAnsi="宋体" w:cs="宋体"/>
          <w:bCs/>
          <w:szCs w:val="21"/>
        </w:rPr>
        <w:t>理解：公共政策与政策环境的关系，政策环境的构成因素</w:t>
      </w:r>
    </w:p>
    <w:p>
      <w:pPr>
        <w:spacing w:line="360" w:lineRule="auto"/>
        <w:ind w:left="1348" w:leftChars="342" w:hanging="630" w:hangingChars="300"/>
        <w:rPr>
          <w:rFonts w:ascii="宋体" w:hAnsi="宋体" w:cs="宋体"/>
          <w:bCs/>
          <w:szCs w:val="21"/>
        </w:rPr>
      </w:pPr>
      <w:r>
        <w:rPr>
          <w:rFonts w:hint="eastAsia" w:ascii="宋体" w:hAnsi="宋体" w:cs="宋体"/>
          <w:bCs/>
          <w:szCs w:val="21"/>
        </w:rPr>
        <w:t>应用：Pest分析法，对一般环境的分析，主要是对政治（Political）、经济（Economic）、社会（Social）和技术（Technological）这四大类主要的外部环境影响因素进行分析。</w:t>
      </w:r>
    </w:p>
    <w:p>
      <w:pPr>
        <w:spacing w:line="360" w:lineRule="auto"/>
        <w:jc w:val="center"/>
        <w:rPr>
          <w:rFonts w:ascii="宋体" w:hAnsi="宋体" w:cs="宋体"/>
          <w:b/>
          <w:bCs/>
          <w:szCs w:val="21"/>
        </w:rPr>
      </w:pPr>
      <w:r>
        <w:rPr>
          <w:rFonts w:hint="eastAsia" w:ascii="宋体" w:hAnsi="宋体" w:cs="宋体"/>
          <w:b/>
          <w:bCs/>
          <w:szCs w:val="21"/>
        </w:rPr>
        <w:t>第四章 政策模型及其相关理论</w:t>
      </w:r>
    </w:p>
    <w:p>
      <w:pPr>
        <w:spacing w:line="360" w:lineRule="auto"/>
        <w:rPr>
          <w:rFonts w:ascii="宋体" w:hAnsi="宋体" w:cs="宋体"/>
          <w:b/>
          <w:bCs/>
          <w:szCs w:val="21"/>
        </w:rPr>
      </w:pPr>
      <w:r>
        <w:rPr>
          <w:rFonts w:hint="eastAsia" w:ascii="宋体" w:hAnsi="宋体" w:cs="宋体"/>
          <w:b/>
          <w:bCs/>
          <w:szCs w:val="21"/>
        </w:rPr>
        <w:t>一、学习目的与要求</w:t>
      </w:r>
    </w:p>
    <w:p>
      <w:pPr>
        <w:spacing w:line="360" w:lineRule="auto"/>
        <w:ind w:firstLine="420" w:firstLineChars="200"/>
        <w:rPr>
          <w:rFonts w:ascii="宋体" w:hAnsi="宋体" w:cs="宋体"/>
          <w:szCs w:val="21"/>
        </w:rPr>
      </w:pPr>
      <w:r>
        <w:rPr>
          <w:rFonts w:hint="eastAsia" w:ascii="宋体" w:hAnsi="宋体" w:cs="宋体"/>
          <w:szCs w:val="21"/>
        </w:rPr>
        <w:t>通过本章的学习，应了解模型的作用与风险，认识评价模型有效性的基本标准，掌握政策分析模型的主要理论观点，理解政策分析模型在政策实践中的应用。</w:t>
      </w:r>
    </w:p>
    <w:p>
      <w:pPr>
        <w:spacing w:line="360" w:lineRule="auto"/>
        <w:rPr>
          <w:rFonts w:ascii="宋体" w:hAnsi="宋体" w:cs="宋体"/>
          <w:b/>
          <w:bCs/>
          <w:szCs w:val="21"/>
        </w:rPr>
      </w:pPr>
      <w:r>
        <w:rPr>
          <w:rFonts w:hint="eastAsia" w:ascii="宋体" w:hAnsi="宋体" w:cs="宋体"/>
          <w:b/>
          <w:bCs/>
          <w:szCs w:val="21"/>
        </w:rPr>
        <w:t>二、考核知识点与考核目标</w:t>
      </w:r>
    </w:p>
    <w:p>
      <w:pPr>
        <w:numPr>
          <w:ilvl w:val="0"/>
          <w:numId w:val="5"/>
        </w:numPr>
        <w:spacing w:line="360" w:lineRule="auto"/>
        <w:rPr>
          <w:rFonts w:ascii="宋体" w:hAnsi="宋体" w:cs="宋体"/>
          <w:bCs/>
          <w:szCs w:val="21"/>
        </w:rPr>
      </w:pPr>
      <w:r>
        <w:rPr>
          <w:rFonts w:hint="eastAsia" w:ascii="宋体" w:hAnsi="宋体" w:cs="宋体"/>
          <w:bCs/>
          <w:szCs w:val="21"/>
        </w:rPr>
        <w:t>模型概述</w:t>
      </w:r>
    </w:p>
    <w:p>
      <w:pPr>
        <w:spacing w:line="360" w:lineRule="auto"/>
        <w:ind w:firstLine="630" w:firstLineChars="300"/>
        <w:rPr>
          <w:rFonts w:ascii="宋体" w:hAnsi="宋体" w:cs="宋体"/>
          <w:bCs/>
          <w:szCs w:val="21"/>
        </w:rPr>
      </w:pPr>
      <w:r>
        <w:rPr>
          <w:rFonts w:hint="eastAsia" w:ascii="宋体" w:hAnsi="宋体" w:cs="宋体"/>
          <w:bCs/>
          <w:szCs w:val="21"/>
        </w:rPr>
        <w:t>识记：模型的概念</w:t>
      </w:r>
    </w:p>
    <w:p>
      <w:pPr>
        <w:spacing w:line="360" w:lineRule="auto"/>
        <w:ind w:firstLine="630" w:firstLineChars="300"/>
        <w:rPr>
          <w:rFonts w:ascii="宋体" w:hAnsi="宋体" w:cs="宋体"/>
          <w:bCs/>
          <w:szCs w:val="21"/>
        </w:rPr>
      </w:pPr>
      <w:r>
        <w:rPr>
          <w:rFonts w:hint="eastAsia" w:ascii="宋体" w:hAnsi="宋体" w:cs="宋体"/>
          <w:bCs/>
          <w:szCs w:val="21"/>
        </w:rPr>
        <w:t>理解：模型评述、如何分辨模型的有效性</w:t>
      </w:r>
    </w:p>
    <w:p>
      <w:pPr>
        <w:numPr>
          <w:ilvl w:val="0"/>
          <w:numId w:val="5"/>
        </w:numPr>
        <w:spacing w:line="360" w:lineRule="auto"/>
        <w:rPr>
          <w:rFonts w:ascii="宋体" w:hAnsi="宋体" w:cs="宋体"/>
          <w:bCs/>
          <w:szCs w:val="21"/>
        </w:rPr>
      </w:pPr>
      <w:r>
        <w:rPr>
          <w:rFonts w:hint="eastAsia" w:ascii="宋体" w:hAnsi="宋体" w:cs="宋体"/>
          <w:bCs/>
          <w:szCs w:val="21"/>
        </w:rPr>
        <w:t>几种重要的政策分析模型</w:t>
      </w:r>
    </w:p>
    <w:p>
      <w:pPr>
        <w:spacing w:line="360" w:lineRule="auto"/>
        <w:ind w:firstLine="630" w:firstLineChars="300"/>
        <w:rPr>
          <w:rFonts w:ascii="宋体" w:hAnsi="宋体" w:cs="宋体"/>
          <w:bCs/>
          <w:szCs w:val="21"/>
        </w:rPr>
      </w:pPr>
      <w:r>
        <w:rPr>
          <w:rFonts w:hint="eastAsia" w:ascii="宋体" w:hAnsi="宋体" w:cs="宋体"/>
          <w:bCs/>
          <w:szCs w:val="21"/>
        </w:rPr>
        <w:t>理解：传统理性模型、有限理性模型、渐进主义模型、小组意识模型、精英理论、制</w:t>
      </w:r>
    </w:p>
    <w:p>
      <w:pPr>
        <w:spacing w:line="360" w:lineRule="auto"/>
        <w:ind w:firstLine="1260" w:firstLineChars="600"/>
        <w:rPr>
          <w:rFonts w:ascii="宋体" w:hAnsi="宋体" w:cs="宋体"/>
          <w:bCs/>
          <w:szCs w:val="21"/>
        </w:rPr>
      </w:pPr>
      <w:r>
        <w:rPr>
          <w:rFonts w:hint="eastAsia" w:ascii="宋体" w:hAnsi="宋体" w:cs="宋体"/>
          <w:bCs/>
          <w:szCs w:val="21"/>
        </w:rPr>
        <w:t>度理论、博弈理论、团体理论、系统理论、过程模型的含义、主要内容和特点</w:t>
      </w:r>
    </w:p>
    <w:p>
      <w:pPr>
        <w:numPr>
          <w:ilvl w:val="0"/>
          <w:numId w:val="5"/>
        </w:numPr>
        <w:spacing w:line="360" w:lineRule="auto"/>
        <w:rPr>
          <w:rFonts w:ascii="宋体" w:hAnsi="宋体" w:cs="宋体"/>
          <w:bCs/>
          <w:szCs w:val="21"/>
        </w:rPr>
      </w:pPr>
      <w:r>
        <w:rPr>
          <w:rFonts w:hint="eastAsia" w:ascii="宋体" w:hAnsi="宋体" w:cs="宋体"/>
          <w:bCs/>
          <w:szCs w:val="21"/>
        </w:rPr>
        <w:t>政策分析的相关理论</w:t>
      </w:r>
    </w:p>
    <w:p>
      <w:pPr>
        <w:spacing w:line="360" w:lineRule="auto"/>
        <w:ind w:left="1348" w:leftChars="342" w:hanging="630" w:hangingChars="300"/>
        <w:rPr>
          <w:rFonts w:ascii="宋体" w:hAnsi="宋体" w:cs="宋体"/>
          <w:bCs/>
          <w:szCs w:val="21"/>
        </w:rPr>
      </w:pPr>
      <w:r>
        <w:rPr>
          <w:rFonts w:hint="eastAsia" w:ascii="宋体" w:hAnsi="宋体" w:cs="宋体"/>
          <w:bCs/>
          <w:szCs w:val="21"/>
        </w:rPr>
        <w:t>识记：实验法的分类，机会成本的概念</w:t>
      </w:r>
    </w:p>
    <w:p>
      <w:pPr>
        <w:spacing w:line="360" w:lineRule="auto"/>
        <w:ind w:left="1348" w:leftChars="342" w:hanging="630" w:hangingChars="300"/>
        <w:rPr>
          <w:rFonts w:ascii="宋体" w:hAnsi="宋体" w:cs="宋体"/>
          <w:bCs/>
          <w:szCs w:val="21"/>
        </w:rPr>
      </w:pPr>
      <w:r>
        <w:rPr>
          <w:rFonts w:hint="eastAsia" w:ascii="宋体" w:hAnsi="宋体" w:cs="宋体"/>
          <w:bCs/>
          <w:szCs w:val="21"/>
        </w:rPr>
        <w:t>理解：混合扫描理论、实验性理论的含义和特点</w:t>
      </w:r>
    </w:p>
    <w:p>
      <w:pPr>
        <w:numPr>
          <w:ilvl w:val="0"/>
          <w:numId w:val="5"/>
        </w:numPr>
        <w:spacing w:line="360" w:lineRule="auto"/>
        <w:rPr>
          <w:rFonts w:ascii="宋体" w:hAnsi="宋体" w:cs="宋体"/>
          <w:bCs/>
          <w:szCs w:val="21"/>
        </w:rPr>
      </w:pPr>
      <w:r>
        <w:rPr>
          <w:rFonts w:hint="eastAsia" w:ascii="宋体" w:hAnsi="宋体" w:cs="宋体"/>
          <w:bCs/>
          <w:szCs w:val="21"/>
        </w:rPr>
        <w:t>中国古代政策观</w:t>
      </w:r>
    </w:p>
    <w:p>
      <w:pPr>
        <w:spacing w:line="360" w:lineRule="auto"/>
        <w:ind w:left="1348" w:leftChars="342" w:hanging="630" w:hangingChars="300"/>
        <w:rPr>
          <w:rFonts w:ascii="宋体" w:hAnsi="宋体" w:cs="宋体"/>
          <w:bCs/>
          <w:szCs w:val="21"/>
        </w:rPr>
      </w:pPr>
      <w:r>
        <w:rPr>
          <w:rFonts w:hint="eastAsia" w:ascii="宋体" w:hAnsi="宋体" w:cs="宋体"/>
          <w:bCs/>
          <w:szCs w:val="21"/>
        </w:rPr>
        <w:t>理解：儒家的“中庸”之道、道家的“无为”之治、墨家的理性推理、法家的系统理念、孙子的“知变”战术含义和特点</w:t>
      </w:r>
    </w:p>
    <w:p>
      <w:pPr>
        <w:spacing w:line="360" w:lineRule="auto"/>
        <w:jc w:val="center"/>
        <w:rPr>
          <w:rFonts w:ascii="宋体" w:hAnsi="宋体" w:cs="宋体"/>
          <w:b/>
          <w:bCs/>
          <w:szCs w:val="21"/>
        </w:rPr>
      </w:pPr>
      <w:r>
        <w:rPr>
          <w:rFonts w:hint="eastAsia" w:ascii="宋体" w:hAnsi="宋体" w:cs="宋体"/>
          <w:b/>
          <w:bCs/>
          <w:szCs w:val="21"/>
        </w:rPr>
        <w:t>第五章 政策制定</w:t>
      </w:r>
    </w:p>
    <w:p>
      <w:pPr>
        <w:spacing w:line="360" w:lineRule="auto"/>
        <w:rPr>
          <w:rFonts w:ascii="宋体" w:hAnsi="宋体" w:cs="宋体"/>
          <w:b/>
          <w:bCs/>
          <w:szCs w:val="21"/>
        </w:rPr>
      </w:pPr>
      <w:r>
        <w:rPr>
          <w:rFonts w:hint="eastAsia" w:ascii="宋体" w:hAnsi="宋体" w:cs="宋体"/>
          <w:b/>
          <w:bCs/>
          <w:szCs w:val="21"/>
        </w:rPr>
        <w:t>一、学习目的与要求</w:t>
      </w:r>
    </w:p>
    <w:p>
      <w:pPr>
        <w:spacing w:line="360" w:lineRule="auto"/>
        <w:ind w:firstLine="420" w:firstLineChars="200"/>
        <w:rPr>
          <w:rFonts w:ascii="宋体" w:hAnsi="宋体" w:cs="宋体"/>
          <w:szCs w:val="21"/>
        </w:rPr>
      </w:pPr>
      <w:r>
        <w:rPr>
          <w:rFonts w:hint="eastAsia" w:ascii="宋体" w:hAnsi="宋体" w:cs="宋体"/>
          <w:szCs w:val="21"/>
        </w:rPr>
        <w:t>通过本章的学习，应了解社会问题的性质、特征、类型和基本理论，认识政策问题确认的基本步骤与方法，熟悉政策议程的基本类型、建立的条件、触发机制及影响因素，明确政策规划的基本原则、基本程序和思维方法，掌握目标设定、方案开发、结果预测和择优选择的一般方法，理解光环效应、从众效应等心理效应对决策质量的影响。</w:t>
      </w:r>
    </w:p>
    <w:p>
      <w:pPr>
        <w:spacing w:line="360" w:lineRule="auto"/>
        <w:rPr>
          <w:rFonts w:ascii="宋体" w:hAnsi="宋体" w:cs="宋体"/>
          <w:b/>
          <w:bCs/>
          <w:szCs w:val="21"/>
        </w:rPr>
      </w:pPr>
      <w:r>
        <w:rPr>
          <w:rFonts w:hint="eastAsia" w:ascii="宋体" w:hAnsi="宋体" w:cs="宋体"/>
          <w:b/>
          <w:bCs/>
          <w:szCs w:val="21"/>
        </w:rPr>
        <w:t>二、考核知识点与考核目标</w:t>
      </w:r>
    </w:p>
    <w:p>
      <w:pPr>
        <w:spacing w:line="360" w:lineRule="auto"/>
        <w:rPr>
          <w:rFonts w:ascii="宋体" w:hAnsi="宋体" w:cs="宋体"/>
          <w:bCs/>
          <w:szCs w:val="21"/>
        </w:rPr>
      </w:pPr>
      <w:r>
        <w:rPr>
          <w:rFonts w:hint="eastAsia" w:ascii="宋体" w:hAnsi="宋体" w:cs="宋体"/>
          <w:bCs/>
          <w:szCs w:val="21"/>
        </w:rPr>
        <w:t>（一）社会问题的产生</w:t>
      </w:r>
    </w:p>
    <w:p>
      <w:pPr>
        <w:spacing w:line="360" w:lineRule="auto"/>
        <w:ind w:firstLine="630" w:firstLineChars="300"/>
        <w:rPr>
          <w:rFonts w:ascii="宋体" w:hAnsi="宋体" w:cs="宋体"/>
          <w:bCs/>
          <w:szCs w:val="21"/>
        </w:rPr>
      </w:pPr>
      <w:r>
        <w:rPr>
          <w:rFonts w:hint="eastAsia" w:ascii="宋体" w:hAnsi="宋体" w:cs="宋体"/>
          <w:bCs/>
          <w:szCs w:val="21"/>
        </w:rPr>
        <w:t>识记：社会问题的概念和特点</w:t>
      </w:r>
    </w:p>
    <w:p>
      <w:pPr>
        <w:spacing w:line="360" w:lineRule="auto"/>
        <w:ind w:firstLine="630" w:firstLineChars="300"/>
        <w:rPr>
          <w:rFonts w:ascii="宋体" w:hAnsi="宋体" w:cs="宋体"/>
          <w:bCs/>
          <w:szCs w:val="21"/>
        </w:rPr>
      </w:pPr>
      <w:r>
        <w:rPr>
          <w:rFonts w:hint="eastAsia" w:ascii="宋体" w:hAnsi="宋体" w:cs="宋体"/>
          <w:bCs/>
          <w:szCs w:val="21"/>
        </w:rPr>
        <w:t>理解：社会问题、社会问题理论、社会问题类型，社会问题的比喻</w:t>
      </w:r>
    </w:p>
    <w:p>
      <w:pPr>
        <w:spacing w:line="360" w:lineRule="auto"/>
        <w:ind w:firstLine="630" w:firstLineChars="300"/>
        <w:rPr>
          <w:rFonts w:ascii="宋体" w:hAnsi="宋体" w:cs="宋体"/>
          <w:bCs/>
          <w:szCs w:val="21"/>
        </w:rPr>
      </w:pPr>
      <w:r>
        <w:rPr>
          <w:rFonts w:hint="eastAsia" w:ascii="宋体" w:hAnsi="宋体" w:cs="宋体"/>
          <w:bCs/>
          <w:szCs w:val="21"/>
        </w:rPr>
        <w:t>应用：问题分析方法，层次分析法、鱼骨图分析法、5why分析法、穆勒法（契合法、差异法、契合差异并用法、共变法、剩余法）</w:t>
      </w:r>
    </w:p>
    <w:p>
      <w:pPr>
        <w:spacing w:line="360" w:lineRule="auto"/>
        <w:rPr>
          <w:rFonts w:ascii="宋体" w:hAnsi="宋体" w:cs="宋体"/>
          <w:bCs/>
          <w:szCs w:val="21"/>
        </w:rPr>
      </w:pPr>
      <w:r>
        <w:rPr>
          <w:rFonts w:hint="eastAsia" w:ascii="宋体" w:hAnsi="宋体" w:cs="宋体"/>
          <w:bCs/>
          <w:szCs w:val="21"/>
        </w:rPr>
        <w:t>（二）政策问题的确认</w:t>
      </w:r>
    </w:p>
    <w:p>
      <w:pPr>
        <w:spacing w:line="360" w:lineRule="auto"/>
        <w:ind w:firstLine="630" w:firstLineChars="300"/>
        <w:rPr>
          <w:rFonts w:ascii="宋体" w:hAnsi="宋体" w:cs="宋体"/>
          <w:bCs/>
          <w:szCs w:val="21"/>
        </w:rPr>
      </w:pPr>
      <w:r>
        <w:rPr>
          <w:rFonts w:hint="eastAsia" w:ascii="宋体" w:hAnsi="宋体" w:cs="宋体"/>
          <w:bCs/>
          <w:szCs w:val="21"/>
        </w:rPr>
        <w:t>识记：问题察觉、问题界定、问题描述的概念</w:t>
      </w:r>
    </w:p>
    <w:p>
      <w:pPr>
        <w:spacing w:line="360" w:lineRule="auto"/>
        <w:ind w:firstLine="630" w:firstLineChars="300"/>
        <w:rPr>
          <w:rFonts w:ascii="宋体" w:hAnsi="宋体" w:cs="宋体"/>
          <w:bCs/>
          <w:szCs w:val="21"/>
        </w:rPr>
      </w:pPr>
      <w:r>
        <w:rPr>
          <w:rFonts w:hint="eastAsia" w:ascii="宋体" w:hAnsi="宋体" w:cs="宋体"/>
          <w:bCs/>
          <w:szCs w:val="21"/>
        </w:rPr>
        <w:t>理解：问题界定的方法、</w:t>
      </w:r>
    </w:p>
    <w:p>
      <w:pPr>
        <w:spacing w:line="360" w:lineRule="auto"/>
        <w:ind w:left="382" w:leftChars="182" w:firstLine="210" w:firstLineChars="100"/>
        <w:rPr>
          <w:rFonts w:ascii="宋体" w:hAnsi="宋体" w:cs="宋体"/>
          <w:bCs/>
          <w:szCs w:val="21"/>
        </w:rPr>
      </w:pPr>
      <w:r>
        <w:rPr>
          <w:rFonts w:hint="eastAsia" w:ascii="宋体" w:hAnsi="宋体" w:cs="宋体"/>
          <w:bCs/>
          <w:szCs w:val="21"/>
        </w:rPr>
        <w:t>应用：对问题产生的时间、地点、环境和条件，问题的性质、类型、范围和程度，问</w:t>
      </w:r>
    </w:p>
    <w:p>
      <w:pPr>
        <w:spacing w:line="360" w:lineRule="auto"/>
        <w:ind w:left="382" w:leftChars="182" w:firstLine="840" w:firstLineChars="400"/>
        <w:rPr>
          <w:rFonts w:ascii="宋体" w:hAnsi="宋体" w:cs="宋体"/>
          <w:bCs/>
          <w:szCs w:val="21"/>
        </w:rPr>
      </w:pPr>
      <w:r>
        <w:rPr>
          <w:rFonts w:hint="eastAsia" w:ascii="宋体" w:hAnsi="宋体" w:cs="宋体"/>
          <w:bCs/>
          <w:szCs w:val="21"/>
        </w:rPr>
        <w:t>题的结构及其作用等进行多维分析</w:t>
      </w:r>
    </w:p>
    <w:p>
      <w:pPr>
        <w:numPr>
          <w:ilvl w:val="0"/>
          <w:numId w:val="4"/>
        </w:numPr>
        <w:spacing w:line="360" w:lineRule="auto"/>
        <w:rPr>
          <w:rFonts w:ascii="宋体" w:hAnsi="宋体" w:cs="宋体"/>
          <w:bCs/>
          <w:szCs w:val="21"/>
        </w:rPr>
      </w:pPr>
      <w:r>
        <w:rPr>
          <w:rFonts w:hint="eastAsia" w:ascii="宋体" w:hAnsi="宋体" w:cs="宋体"/>
          <w:bCs/>
          <w:szCs w:val="21"/>
        </w:rPr>
        <w:t>政策议程的建立</w:t>
      </w:r>
    </w:p>
    <w:p>
      <w:pPr>
        <w:spacing w:line="360" w:lineRule="auto"/>
        <w:ind w:left="1348" w:leftChars="342" w:hanging="630" w:hangingChars="300"/>
        <w:rPr>
          <w:rFonts w:ascii="宋体" w:hAnsi="宋体" w:cs="宋体"/>
          <w:bCs/>
          <w:szCs w:val="21"/>
        </w:rPr>
      </w:pPr>
      <w:r>
        <w:rPr>
          <w:rFonts w:hint="eastAsia" w:ascii="宋体" w:hAnsi="宋体" w:cs="宋体"/>
          <w:bCs/>
          <w:szCs w:val="21"/>
        </w:rPr>
        <w:t>识记：政府议程、公众议程的含义</w:t>
      </w:r>
    </w:p>
    <w:p>
      <w:pPr>
        <w:spacing w:line="360" w:lineRule="auto"/>
        <w:ind w:left="1348" w:leftChars="342" w:hanging="630" w:hangingChars="300"/>
        <w:rPr>
          <w:rFonts w:ascii="宋体" w:hAnsi="宋体" w:cs="宋体"/>
          <w:bCs/>
          <w:szCs w:val="21"/>
        </w:rPr>
      </w:pPr>
      <w:r>
        <w:rPr>
          <w:rFonts w:hint="eastAsia" w:ascii="宋体" w:hAnsi="宋体" w:cs="宋体"/>
          <w:bCs/>
          <w:szCs w:val="21"/>
        </w:rPr>
        <w:t>理解：政策议程的类型、政策议程建立的条件、政策议程的触发机制、政策议程建立的障碍</w:t>
      </w:r>
    </w:p>
    <w:p>
      <w:pPr>
        <w:spacing w:line="360" w:lineRule="auto"/>
        <w:ind w:left="1348" w:leftChars="342" w:hanging="630" w:hangingChars="300"/>
        <w:rPr>
          <w:rFonts w:ascii="宋体" w:hAnsi="宋体" w:cs="宋体"/>
          <w:bCs/>
          <w:szCs w:val="21"/>
        </w:rPr>
      </w:pPr>
      <w:r>
        <w:rPr>
          <w:rFonts w:hint="eastAsia" w:ascii="宋体" w:hAnsi="宋体" w:cs="宋体"/>
          <w:bCs/>
          <w:szCs w:val="21"/>
        </w:rPr>
        <w:t>应用：开展政策议程的建立条件及障碍、触发机制的分析</w:t>
      </w:r>
    </w:p>
    <w:p>
      <w:pPr>
        <w:numPr>
          <w:ilvl w:val="0"/>
          <w:numId w:val="4"/>
        </w:numPr>
        <w:spacing w:line="360" w:lineRule="auto"/>
        <w:rPr>
          <w:rFonts w:ascii="宋体" w:hAnsi="宋体" w:cs="宋体"/>
          <w:bCs/>
          <w:szCs w:val="21"/>
        </w:rPr>
      </w:pPr>
      <w:r>
        <w:rPr>
          <w:rFonts w:hint="eastAsia" w:ascii="宋体" w:hAnsi="宋体" w:cs="宋体"/>
          <w:bCs/>
          <w:szCs w:val="21"/>
        </w:rPr>
        <w:t>政策规划</w:t>
      </w:r>
    </w:p>
    <w:p>
      <w:pPr>
        <w:spacing w:line="360" w:lineRule="auto"/>
        <w:ind w:firstLine="630" w:firstLineChars="300"/>
        <w:rPr>
          <w:rFonts w:ascii="宋体" w:hAnsi="宋体" w:cs="宋体"/>
          <w:bCs/>
          <w:szCs w:val="21"/>
        </w:rPr>
      </w:pPr>
      <w:r>
        <w:rPr>
          <w:rFonts w:hint="eastAsia" w:ascii="宋体" w:hAnsi="宋体" w:cs="宋体"/>
          <w:bCs/>
          <w:szCs w:val="21"/>
        </w:rPr>
        <w:t>识记：政策规划主体的概念、类型，听证的含义</w:t>
      </w:r>
    </w:p>
    <w:p>
      <w:pPr>
        <w:spacing w:line="360" w:lineRule="auto"/>
        <w:ind w:firstLine="630" w:firstLineChars="300"/>
        <w:rPr>
          <w:rFonts w:ascii="宋体" w:hAnsi="宋体" w:cs="宋体"/>
          <w:bCs/>
          <w:szCs w:val="21"/>
        </w:rPr>
      </w:pPr>
      <w:r>
        <w:rPr>
          <w:rFonts w:hint="eastAsia" w:ascii="宋体" w:hAnsi="宋体" w:cs="宋体"/>
          <w:bCs/>
          <w:szCs w:val="21"/>
        </w:rPr>
        <w:t>理解：听证制度的意义，政策规划的原则，政策论证的类型，政策目标的特征及目标</w:t>
      </w:r>
    </w:p>
    <w:p>
      <w:pPr>
        <w:spacing w:line="360" w:lineRule="auto"/>
        <w:ind w:left="1197" w:leftChars="570"/>
        <w:rPr>
          <w:rFonts w:ascii="宋体" w:hAnsi="宋体" w:cs="宋体"/>
          <w:bCs/>
          <w:szCs w:val="21"/>
        </w:rPr>
      </w:pPr>
      <w:r>
        <w:rPr>
          <w:rFonts w:hint="eastAsia" w:ascii="宋体" w:hAnsi="宋体" w:cs="宋体"/>
          <w:bCs/>
          <w:szCs w:val="21"/>
        </w:rPr>
        <w:t>确定的原则，事实前提与价值前提的区别，政策方案设计的要点，政策方案评估的内容，政策方案选择的环节，群体决策的择案规则</w:t>
      </w:r>
    </w:p>
    <w:p>
      <w:pPr>
        <w:spacing w:line="360" w:lineRule="auto"/>
        <w:ind w:firstLine="630" w:firstLineChars="300"/>
        <w:rPr>
          <w:rFonts w:ascii="宋体" w:hAnsi="宋体" w:cs="宋体"/>
          <w:bCs/>
          <w:szCs w:val="21"/>
        </w:rPr>
      </w:pPr>
      <w:r>
        <w:rPr>
          <w:rFonts w:hint="eastAsia" w:ascii="宋体" w:hAnsi="宋体" w:cs="宋体"/>
          <w:bCs/>
          <w:szCs w:val="21"/>
        </w:rPr>
        <w:t>应用：开展政策规划中的思维方法、政策规划程序分析</w:t>
      </w:r>
    </w:p>
    <w:p>
      <w:pPr>
        <w:numPr>
          <w:ilvl w:val="0"/>
          <w:numId w:val="4"/>
        </w:numPr>
        <w:spacing w:line="360" w:lineRule="auto"/>
        <w:rPr>
          <w:rFonts w:ascii="宋体" w:hAnsi="宋体" w:cs="宋体"/>
          <w:bCs/>
          <w:szCs w:val="21"/>
        </w:rPr>
      </w:pPr>
      <w:r>
        <w:rPr>
          <w:rFonts w:hint="eastAsia" w:ascii="宋体" w:hAnsi="宋体" w:cs="宋体"/>
          <w:bCs/>
          <w:szCs w:val="21"/>
        </w:rPr>
        <w:t>心理效应与决策质量</w:t>
      </w:r>
    </w:p>
    <w:p>
      <w:pPr>
        <w:spacing w:line="360" w:lineRule="auto"/>
        <w:ind w:firstLine="630" w:firstLineChars="300"/>
        <w:rPr>
          <w:rFonts w:ascii="宋体" w:hAnsi="宋体" w:cs="宋体"/>
          <w:bCs/>
          <w:szCs w:val="21"/>
        </w:rPr>
      </w:pPr>
      <w:r>
        <w:rPr>
          <w:rFonts w:hint="eastAsia" w:ascii="宋体" w:hAnsi="宋体" w:cs="宋体"/>
          <w:bCs/>
          <w:szCs w:val="21"/>
        </w:rPr>
        <w:t>理解：心理效应与决策质量的类型</w:t>
      </w:r>
    </w:p>
    <w:p>
      <w:pPr>
        <w:numPr>
          <w:ilvl w:val="0"/>
          <w:numId w:val="4"/>
        </w:numPr>
        <w:spacing w:line="360" w:lineRule="auto"/>
        <w:rPr>
          <w:rFonts w:ascii="宋体" w:hAnsi="宋体" w:cs="宋体"/>
          <w:bCs/>
          <w:szCs w:val="21"/>
        </w:rPr>
      </w:pPr>
      <w:r>
        <w:rPr>
          <w:rFonts w:hint="eastAsia" w:ascii="宋体" w:hAnsi="宋体" w:cs="宋体"/>
          <w:bCs/>
          <w:szCs w:val="21"/>
        </w:rPr>
        <w:t>政策合法化——政策获得合法性的过程</w:t>
      </w:r>
    </w:p>
    <w:p>
      <w:pPr>
        <w:spacing w:line="360" w:lineRule="auto"/>
        <w:ind w:firstLine="630" w:firstLineChars="300"/>
        <w:rPr>
          <w:rFonts w:ascii="宋体" w:hAnsi="宋体" w:cs="宋体"/>
          <w:bCs/>
          <w:szCs w:val="21"/>
        </w:rPr>
      </w:pPr>
      <w:r>
        <w:rPr>
          <w:rFonts w:hint="eastAsia" w:ascii="宋体" w:hAnsi="宋体" w:cs="宋体"/>
          <w:bCs/>
          <w:szCs w:val="21"/>
        </w:rPr>
        <w:t>理解：政策合法性的含义及内容</w:t>
      </w:r>
    </w:p>
    <w:p>
      <w:pPr>
        <w:spacing w:line="360" w:lineRule="auto"/>
        <w:jc w:val="center"/>
        <w:rPr>
          <w:rFonts w:ascii="宋体" w:hAnsi="宋体" w:cs="宋体"/>
          <w:b/>
          <w:bCs/>
          <w:szCs w:val="21"/>
        </w:rPr>
      </w:pPr>
      <w:r>
        <w:rPr>
          <w:rFonts w:hint="eastAsia" w:ascii="宋体" w:hAnsi="宋体" w:cs="宋体"/>
          <w:b/>
          <w:bCs/>
          <w:szCs w:val="21"/>
        </w:rPr>
        <w:t>第六章 政策执行</w:t>
      </w:r>
    </w:p>
    <w:p>
      <w:pPr>
        <w:spacing w:line="360" w:lineRule="auto"/>
        <w:rPr>
          <w:rFonts w:ascii="宋体" w:hAnsi="宋体" w:cs="宋体"/>
          <w:b/>
          <w:bCs/>
          <w:szCs w:val="21"/>
        </w:rPr>
      </w:pPr>
      <w:r>
        <w:rPr>
          <w:rFonts w:hint="eastAsia" w:ascii="宋体" w:hAnsi="宋体" w:cs="宋体"/>
          <w:b/>
          <w:bCs/>
          <w:szCs w:val="21"/>
        </w:rPr>
        <w:t>一、学习目的与要求</w:t>
      </w:r>
    </w:p>
    <w:p>
      <w:pPr>
        <w:spacing w:line="360" w:lineRule="auto"/>
        <w:ind w:firstLine="420" w:firstLineChars="200"/>
        <w:rPr>
          <w:rFonts w:ascii="宋体" w:hAnsi="宋体" w:cs="宋体"/>
          <w:szCs w:val="21"/>
        </w:rPr>
      </w:pPr>
      <w:r>
        <w:rPr>
          <w:rFonts w:hint="eastAsia" w:ascii="宋体" w:hAnsi="宋体" w:cs="宋体"/>
          <w:szCs w:val="21"/>
        </w:rPr>
        <w:t>通过本章的学习，应了解政策执行的性质与特征，认识政策执行的主要功能，理解政策执行的基本过程，熟悉政策执行的影响因素，掌握政策执行的基本原则和行动策略。</w:t>
      </w:r>
    </w:p>
    <w:p>
      <w:pPr>
        <w:spacing w:line="360" w:lineRule="auto"/>
        <w:rPr>
          <w:rFonts w:ascii="宋体" w:hAnsi="宋体" w:cs="宋体"/>
          <w:b/>
          <w:bCs/>
          <w:szCs w:val="21"/>
        </w:rPr>
      </w:pPr>
      <w:r>
        <w:rPr>
          <w:rFonts w:hint="eastAsia" w:ascii="宋体" w:hAnsi="宋体" w:cs="宋体"/>
          <w:b/>
          <w:bCs/>
          <w:szCs w:val="21"/>
        </w:rPr>
        <w:t>二、考核知识点与考核目标</w:t>
      </w:r>
    </w:p>
    <w:p>
      <w:pPr>
        <w:numPr>
          <w:ilvl w:val="0"/>
          <w:numId w:val="6"/>
        </w:numPr>
        <w:spacing w:line="360" w:lineRule="auto"/>
        <w:rPr>
          <w:rFonts w:ascii="宋体" w:hAnsi="宋体" w:cs="宋体"/>
          <w:bCs/>
          <w:szCs w:val="21"/>
        </w:rPr>
      </w:pPr>
      <w:r>
        <w:rPr>
          <w:rFonts w:hint="eastAsia" w:ascii="宋体" w:hAnsi="宋体" w:cs="宋体"/>
          <w:bCs/>
          <w:szCs w:val="21"/>
        </w:rPr>
        <w:t>政策执行的概述</w:t>
      </w:r>
    </w:p>
    <w:p>
      <w:pPr>
        <w:spacing w:line="360" w:lineRule="auto"/>
        <w:ind w:firstLine="630" w:firstLineChars="300"/>
        <w:rPr>
          <w:rFonts w:ascii="宋体" w:hAnsi="宋体" w:cs="宋体"/>
          <w:bCs/>
          <w:szCs w:val="21"/>
        </w:rPr>
      </w:pPr>
      <w:r>
        <w:rPr>
          <w:rFonts w:hint="eastAsia" w:ascii="宋体" w:hAnsi="宋体" w:cs="宋体"/>
          <w:bCs/>
          <w:szCs w:val="21"/>
        </w:rPr>
        <w:t>识记：政策执行的概念</w:t>
      </w:r>
    </w:p>
    <w:p>
      <w:pPr>
        <w:spacing w:line="360" w:lineRule="auto"/>
        <w:ind w:left="1228" w:leftChars="285" w:hanging="630" w:hangingChars="300"/>
        <w:rPr>
          <w:rFonts w:ascii="宋体" w:hAnsi="宋体" w:cs="宋体"/>
          <w:bCs/>
          <w:szCs w:val="21"/>
        </w:rPr>
      </w:pPr>
      <w:r>
        <w:rPr>
          <w:rFonts w:hint="eastAsia" w:ascii="宋体" w:hAnsi="宋体" w:cs="宋体"/>
          <w:bCs/>
          <w:szCs w:val="21"/>
        </w:rPr>
        <w:t>理解：政策执行行动学派和组织理论学派的主要观点和内容，政策执行研究的演变，政策执行的特征、功能和过程</w:t>
      </w:r>
    </w:p>
    <w:p>
      <w:pPr>
        <w:spacing w:line="360" w:lineRule="auto"/>
        <w:ind w:firstLine="630" w:firstLineChars="300"/>
        <w:rPr>
          <w:rFonts w:ascii="宋体" w:hAnsi="宋体" w:cs="宋体"/>
          <w:bCs/>
          <w:szCs w:val="21"/>
        </w:rPr>
      </w:pPr>
      <w:r>
        <w:rPr>
          <w:rFonts w:hint="eastAsia" w:ascii="宋体" w:hAnsi="宋体" w:cs="宋体"/>
          <w:bCs/>
          <w:szCs w:val="21"/>
        </w:rPr>
        <w:t>应用：开展政策执行过程分析</w:t>
      </w:r>
    </w:p>
    <w:p>
      <w:pPr>
        <w:numPr>
          <w:ilvl w:val="0"/>
          <w:numId w:val="6"/>
        </w:numPr>
        <w:spacing w:line="360" w:lineRule="auto"/>
        <w:rPr>
          <w:rFonts w:ascii="宋体" w:hAnsi="宋体" w:cs="宋体"/>
          <w:bCs/>
          <w:szCs w:val="21"/>
        </w:rPr>
      </w:pPr>
      <w:r>
        <w:rPr>
          <w:rFonts w:hint="eastAsia" w:ascii="宋体" w:hAnsi="宋体" w:cs="宋体"/>
          <w:bCs/>
          <w:szCs w:val="21"/>
        </w:rPr>
        <w:t>政策执行的原则</w:t>
      </w:r>
    </w:p>
    <w:p>
      <w:pPr>
        <w:spacing w:line="360" w:lineRule="auto"/>
        <w:ind w:firstLine="630" w:firstLineChars="300"/>
        <w:rPr>
          <w:rFonts w:ascii="宋体" w:hAnsi="宋体" w:cs="宋体"/>
          <w:bCs/>
          <w:szCs w:val="21"/>
        </w:rPr>
      </w:pPr>
      <w:r>
        <w:rPr>
          <w:rFonts w:hint="eastAsia" w:ascii="宋体" w:hAnsi="宋体" w:cs="宋体"/>
          <w:bCs/>
          <w:szCs w:val="21"/>
        </w:rPr>
        <w:t>理解：政策执行的各类原则的含义</w:t>
      </w:r>
    </w:p>
    <w:p>
      <w:pPr>
        <w:numPr>
          <w:ilvl w:val="0"/>
          <w:numId w:val="6"/>
        </w:numPr>
        <w:spacing w:line="360" w:lineRule="auto"/>
        <w:rPr>
          <w:rFonts w:ascii="宋体" w:hAnsi="宋体" w:cs="宋体"/>
          <w:bCs/>
          <w:szCs w:val="21"/>
        </w:rPr>
      </w:pPr>
      <w:r>
        <w:rPr>
          <w:rFonts w:hint="eastAsia" w:ascii="宋体" w:hAnsi="宋体" w:cs="宋体"/>
          <w:bCs/>
          <w:szCs w:val="21"/>
        </w:rPr>
        <w:t>政策执行的要素</w:t>
      </w:r>
    </w:p>
    <w:p>
      <w:pPr>
        <w:spacing w:line="360" w:lineRule="auto"/>
        <w:ind w:firstLine="630" w:firstLineChars="300"/>
        <w:rPr>
          <w:rFonts w:ascii="宋体" w:hAnsi="宋体" w:cs="宋体"/>
          <w:bCs/>
          <w:szCs w:val="21"/>
        </w:rPr>
      </w:pPr>
      <w:r>
        <w:rPr>
          <w:rFonts w:hint="eastAsia" w:ascii="宋体" w:hAnsi="宋体" w:cs="宋体"/>
          <w:bCs/>
          <w:szCs w:val="21"/>
        </w:rPr>
        <w:t>识记：政策资源、目标群体、信息沟通的概念</w:t>
      </w:r>
    </w:p>
    <w:p>
      <w:pPr>
        <w:spacing w:line="360" w:lineRule="auto"/>
        <w:ind w:left="1228" w:leftChars="285" w:hanging="630" w:hangingChars="300"/>
        <w:rPr>
          <w:rFonts w:ascii="宋体" w:hAnsi="宋体" w:cs="宋体"/>
          <w:bCs/>
          <w:szCs w:val="21"/>
        </w:rPr>
      </w:pPr>
      <w:r>
        <w:rPr>
          <w:rFonts w:hint="eastAsia" w:ascii="宋体" w:hAnsi="宋体" w:cs="宋体"/>
          <w:bCs/>
          <w:szCs w:val="21"/>
        </w:rPr>
        <w:t>理解：执行主体的素质要求和互补效应，执行手段的类型、正式沟通和非正式沟通的类型及特点</w:t>
      </w:r>
    </w:p>
    <w:p>
      <w:pPr>
        <w:spacing w:line="360" w:lineRule="auto"/>
        <w:ind w:firstLine="630" w:firstLineChars="300"/>
        <w:rPr>
          <w:rFonts w:ascii="宋体" w:hAnsi="宋体" w:cs="宋体"/>
          <w:bCs/>
          <w:szCs w:val="21"/>
        </w:rPr>
      </w:pPr>
      <w:r>
        <w:rPr>
          <w:rFonts w:hint="eastAsia" w:ascii="宋体" w:hAnsi="宋体" w:cs="宋体"/>
          <w:bCs/>
          <w:szCs w:val="21"/>
        </w:rPr>
        <w:t>应用：开展影响政策执行的要素分析</w:t>
      </w:r>
    </w:p>
    <w:p>
      <w:pPr>
        <w:spacing w:line="360" w:lineRule="auto"/>
        <w:rPr>
          <w:rFonts w:ascii="宋体" w:hAnsi="宋体" w:cs="宋体"/>
          <w:bCs/>
          <w:szCs w:val="21"/>
        </w:rPr>
      </w:pPr>
      <w:r>
        <w:rPr>
          <w:rFonts w:hint="eastAsia" w:ascii="宋体" w:hAnsi="宋体" w:cs="宋体"/>
          <w:bCs/>
          <w:szCs w:val="21"/>
        </w:rPr>
        <w:t>（四）政策执行的策略</w:t>
      </w:r>
    </w:p>
    <w:p>
      <w:pPr>
        <w:spacing w:line="360" w:lineRule="auto"/>
        <w:ind w:firstLine="630" w:firstLineChars="300"/>
        <w:rPr>
          <w:rFonts w:ascii="宋体" w:hAnsi="宋体" w:cs="宋体"/>
          <w:bCs/>
          <w:szCs w:val="21"/>
        </w:rPr>
      </w:pPr>
      <w:r>
        <w:rPr>
          <w:rFonts w:hint="eastAsia" w:ascii="宋体" w:hAnsi="宋体" w:cs="宋体"/>
          <w:bCs/>
          <w:szCs w:val="21"/>
        </w:rPr>
        <w:t>理解：政策执行策略的类型</w:t>
      </w:r>
    </w:p>
    <w:p>
      <w:pPr>
        <w:spacing w:line="360" w:lineRule="auto"/>
        <w:jc w:val="center"/>
        <w:rPr>
          <w:rFonts w:ascii="宋体" w:hAnsi="宋体" w:cs="宋体"/>
          <w:b/>
          <w:bCs/>
          <w:szCs w:val="21"/>
        </w:rPr>
      </w:pPr>
      <w:r>
        <w:rPr>
          <w:rFonts w:hint="eastAsia" w:ascii="宋体" w:hAnsi="宋体" w:cs="宋体"/>
          <w:b/>
          <w:bCs/>
          <w:szCs w:val="21"/>
        </w:rPr>
        <w:t>第七章 政策评估</w:t>
      </w:r>
    </w:p>
    <w:p>
      <w:pPr>
        <w:spacing w:line="360" w:lineRule="auto"/>
        <w:rPr>
          <w:rFonts w:ascii="宋体" w:hAnsi="宋体" w:cs="宋体"/>
          <w:b/>
          <w:bCs/>
          <w:szCs w:val="21"/>
        </w:rPr>
      </w:pPr>
      <w:r>
        <w:rPr>
          <w:rFonts w:hint="eastAsia" w:ascii="宋体" w:hAnsi="宋体" w:cs="宋体"/>
          <w:b/>
          <w:bCs/>
          <w:szCs w:val="21"/>
        </w:rPr>
        <w:t>一、学习目的与要求</w:t>
      </w:r>
    </w:p>
    <w:p>
      <w:pPr>
        <w:spacing w:line="360" w:lineRule="auto"/>
        <w:ind w:firstLine="420" w:firstLineChars="200"/>
        <w:rPr>
          <w:rFonts w:ascii="宋体" w:hAnsi="宋体" w:cs="宋体"/>
          <w:szCs w:val="21"/>
        </w:rPr>
      </w:pPr>
      <w:r>
        <w:rPr>
          <w:rFonts w:hint="eastAsia" w:ascii="宋体" w:hAnsi="宋体" w:cs="宋体"/>
          <w:szCs w:val="21"/>
        </w:rPr>
        <w:t>通过本章的学习，应了解政策评估的基本内容，认识政策评估的演进过程，理解政策评估的主要功能，区分政策评估的不同类型，熟悉政策评估的基本要素，掌握政策评估的一般标准和基本方法。</w:t>
      </w:r>
    </w:p>
    <w:p>
      <w:pPr>
        <w:spacing w:line="360" w:lineRule="auto"/>
        <w:rPr>
          <w:rFonts w:ascii="宋体" w:hAnsi="宋体" w:cs="宋体"/>
          <w:b/>
          <w:bCs/>
          <w:szCs w:val="21"/>
        </w:rPr>
      </w:pPr>
      <w:r>
        <w:rPr>
          <w:rFonts w:hint="eastAsia" w:ascii="宋体" w:hAnsi="宋体" w:cs="宋体"/>
          <w:b/>
          <w:bCs/>
          <w:szCs w:val="21"/>
        </w:rPr>
        <w:t>二、考核知识点与考核目标</w:t>
      </w:r>
    </w:p>
    <w:p>
      <w:pPr>
        <w:numPr>
          <w:ilvl w:val="0"/>
          <w:numId w:val="7"/>
        </w:numPr>
        <w:spacing w:line="360" w:lineRule="auto"/>
        <w:rPr>
          <w:rFonts w:ascii="宋体" w:hAnsi="宋体" w:cs="宋体"/>
          <w:bCs/>
          <w:szCs w:val="21"/>
        </w:rPr>
      </w:pPr>
      <w:r>
        <w:rPr>
          <w:rFonts w:hint="eastAsia" w:ascii="宋体" w:hAnsi="宋体" w:cs="宋体"/>
          <w:bCs/>
          <w:szCs w:val="21"/>
        </w:rPr>
        <w:t>政策评估的概述</w:t>
      </w:r>
    </w:p>
    <w:p>
      <w:pPr>
        <w:spacing w:line="360" w:lineRule="auto"/>
        <w:ind w:firstLine="630" w:firstLineChars="300"/>
        <w:rPr>
          <w:rFonts w:ascii="宋体" w:hAnsi="宋体" w:cs="宋体"/>
          <w:bCs/>
          <w:szCs w:val="21"/>
        </w:rPr>
      </w:pPr>
      <w:r>
        <w:rPr>
          <w:rFonts w:hint="eastAsia" w:ascii="宋体" w:hAnsi="宋体" w:cs="宋体"/>
          <w:bCs/>
          <w:szCs w:val="21"/>
        </w:rPr>
        <w:t>识记：政策评估的概念</w:t>
      </w:r>
    </w:p>
    <w:p>
      <w:pPr>
        <w:spacing w:line="360" w:lineRule="auto"/>
        <w:ind w:firstLine="630" w:firstLineChars="300"/>
        <w:rPr>
          <w:rFonts w:ascii="宋体" w:hAnsi="宋体" w:cs="宋体"/>
          <w:bCs/>
          <w:szCs w:val="21"/>
        </w:rPr>
      </w:pPr>
      <w:r>
        <w:rPr>
          <w:rFonts w:hint="eastAsia" w:ascii="宋体" w:hAnsi="宋体" w:cs="宋体"/>
          <w:bCs/>
          <w:szCs w:val="21"/>
        </w:rPr>
        <w:t>理解：政策评估的演进、政策评估的基本内容、政策评估的功能</w:t>
      </w:r>
    </w:p>
    <w:p>
      <w:pPr>
        <w:numPr>
          <w:ilvl w:val="0"/>
          <w:numId w:val="7"/>
        </w:numPr>
        <w:spacing w:line="360" w:lineRule="auto"/>
        <w:rPr>
          <w:rFonts w:ascii="宋体" w:hAnsi="宋体" w:cs="宋体"/>
          <w:bCs/>
          <w:szCs w:val="21"/>
        </w:rPr>
      </w:pPr>
      <w:r>
        <w:rPr>
          <w:rFonts w:hint="eastAsia" w:ascii="宋体" w:hAnsi="宋体" w:cs="宋体"/>
          <w:bCs/>
          <w:szCs w:val="21"/>
        </w:rPr>
        <w:t>政策评估的类型与要素</w:t>
      </w:r>
    </w:p>
    <w:p>
      <w:pPr>
        <w:spacing w:line="360" w:lineRule="auto"/>
        <w:ind w:firstLine="630" w:firstLineChars="300"/>
        <w:rPr>
          <w:rFonts w:ascii="宋体" w:hAnsi="宋体" w:cs="宋体"/>
          <w:bCs/>
          <w:szCs w:val="21"/>
        </w:rPr>
      </w:pPr>
      <w:r>
        <w:rPr>
          <w:rFonts w:hint="eastAsia" w:ascii="宋体" w:hAnsi="宋体" w:cs="宋体"/>
          <w:bCs/>
          <w:szCs w:val="21"/>
        </w:rPr>
        <w:t>理解：政策评估的类型、政策评估要素的种类、政策评估的公平性标准</w:t>
      </w:r>
    </w:p>
    <w:p>
      <w:pPr>
        <w:numPr>
          <w:ilvl w:val="0"/>
          <w:numId w:val="7"/>
        </w:numPr>
        <w:spacing w:line="360" w:lineRule="auto"/>
        <w:rPr>
          <w:rFonts w:ascii="宋体" w:hAnsi="宋体" w:cs="宋体"/>
          <w:bCs/>
          <w:szCs w:val="21"/>
        </w:rPr>
      </w:pPr>
      <w:r>
        <w:rPr>
          <w:rFonts w:hint="eastAsia" w:ascii="宋体" w:hAnsi="宋体" w:cs="宋体"/>
          <w:bCs/>
          <w:szCs w:val="21"/>
        </w:rPr>
        <w:t>政策评估步骤</w:t>
      </w:r>
    </w:p>
    <w:p>
      <w:pPr>
        <w:spacing w:line="360" w:lineRule="auto"/>
        <w:ind w:firstLine="630" w:firstLineChars="300"/>
        <w:rPr>
          <w:rFonts w:ascii="宋体" w:hAnsi="宋体" w:cs="宋体"/>
          <w:bCs/>
          <w:szCs w:val="21"/>
        </w:rPr>
      </w:pPr>
      <w:r>
        <w:rPr>
          <w:rFonts w:hint="eastAsia" w:ascii="宋体" w:hAnsi="宋体" w:cs="宋体"/>
          <w:bCs/>
          <w:szCs w:val="21"/>
        </w:rPr>
        <w:t>理解：计划与准备、组织与实施、总结与报告</w:t>
      </w:r>
    </w:p>
    <w:p>
      <w:pPr>
        <w:numPr>
          <w:ilvl w:val="0"/>
          <w:numId w:val="7"/>
        </w:numPr>
        <w:spacing w:line="360" w:lineRule="auto"/>
        <w:rPr>
          <w:rFonts w:ascii="宋体" w:hAnsi="宋体" w:cs="宋体"/>
          <w:bCs/>
          <w:szCs w:val="21"/>
        </w:rPr>
      </w:pPr>
      <w:r>
        <w:rPr>
          <w:rFonts w:hint="eastAsia" w:ascii="宋体" w:hAnsi="宋体" w:cs="宋体"/>
          <w:bCs/>
          <w:szCs w:val="21"/>
        </w:rPr>
        <w:t>政策评估的障碍</w:t>
      </w:r>
    </w:p>
    <w:p>
      <w:pPr>
        <w:spacing w:line="360" w:lineRule="auto"/>
        <w:ind w:firstLine="630" w:firstLineChars="300"/>
        <w:rPr>
          <w:rFonts w:ascii="宋体" w:hAnsi="宋体" w:cs="宋体"/>
          <w:bCs/>
          <w:szCs w:val="21"/>
        </w:rPr>
      </w:pPr>
      <w:r>
        <w:rPr>
          <w:rFonts w:hint="eastAsia" w:ascii="宋体" w:hAnsi="宋体" w:cs="宋体"/>
          <w:bCs/>
          <w:szCs w:val="21"/>
        </w:rPr>
        <w:t>理解：评估障碍的类型</w:t>
      </w:r>
    </w:p>
    <w:p>
      <w:pPr>
        <w:spacing w:line="360" w:lineRule="auto"/>
        <w:ind w:firstLine="630" w:firstLineChars="300"/>
        <w:rPr>
          <w:rFonts w:ascii="宋体" w:hAnsi="宋体" w:cs="宋体"/>
          <w:bCs/>
          <w:szCs w:val="21"/>
        </w:rPr>
      </w:pPr>
      <w:r>
        <w:rPr>
          <w:rFonts w:hint="eastAsia" w:ascii="宋体" w:hAnsi="宋体" w:cs="宋体"/>
          <w:bCs/>
          <w:szCs w:val="21"/>
        </w:rPr>
        <w:t>应用：分析政策评估存在的障碍</w:t>
      </w:r>
    </w:p>
    <w:p>
      <w:pPr>
        <w:spacing w:line="360" w:lineRule="auto"/>
        <w:jc w:val="center"/>
        <w:rPr>
          <w:rFonts w:ascii="宋体" w:hAnsi="宋体" w:cs="宋体"/>
          <w:b/>
          <w:bCs/>
          <w:szCs w:val="21"/>
        </w:rPr>
      </w:pPr>
      <w:r>
        <w:rPr>
          <w:rFonts w:hint="eastAsia" w:ascii="宋体" w:hAnsi="宋体" w:cs="宋体"/>
          <w:b/>
          <w:bCs/>
          <w:szCs w:val="21"/>
        </w:rPr>
        <w:t>第八章 政策终结</w:t>
      </w:r>
    </w:p>
    <w:p>
      <w:pPr>
        <w:spacing w:line="360" w:lineRule="auto"/>
        <w:rPr>
          <w:rFonts w:ascii="宋体" w:hAnsi="宋体" w:cs="宋体"/>
          <w:b/>
          <w:bCs/>
          <w:szCs w:val="21"/>
        </w:rPr>
      </w:pPr>
      <w:r>
        <w:rPr>
          <w:rFonts w:hint="eastAsia" w:ascii="宋体" w:hAnsi="宋体" w:cs="宋体"/>
          <w:b/>
          <w:bCs/>
          <w:szCs w:val="21"/>
        </w:rPr>
        <w:t>一、学习目的与要求</w:t>
      </w:r>
    </w:p>
    <w:p>
      <w:pPr>
        <w:spacing w:line="360" w:lineRule="auto"/>
        <w:ind w:firstLine="420" w:firstLineChars="200"/>
        <w:rPr>
          <w:rFonts w:ascii="宋体" w:hAnsi="宋体" w:cs="宋体"/>
          <w:szCs w:val="21"/>
        </w:rPr>
      </w:pPr>
      <w:r>
        <w:rPr>
          <w:rFonts w:hint="eastAsia" w:ascii="宋体" w:hAnsi="宋体" w:cs="宋体"/>
          <w:szCs w:val="21"/>
        </w:rPr>
        <w:t>通过本章的学习，应了解政策终结的基本内涵，了解政策终结的对象与形式，理解政策终结的障碍，掌握政策终结的方法。</w:t>
      </w:r>
    </w:p>
    <w:p>
      <w:pPr>
        <w:spacing w:line="360" w:lineRule="auto"/>
        <w:rPr>
          <w:rFonts w:ascii="宋体" w:hAnsi="宋体" w:cs="宋体"/>
          <w:b/>
          <w:bCs/>
          <w:szCs w:val="21"/>
        </w:rPr>
      </w:pPr>
      <w:r>
        <w:rPr>
          <w:rFonts w:hint="eastAsia" w:ascii="宋体" w:hAnsi="宋体" w:cs="宋体"/>
          <w:b/>
          <w:bCs/>
          <w:szCs w:val="21"/>
        </w:rPr>
        <w:t>二、考核知识点与考核目标</w:t>
      </w:r>
    </w:p>
    <w:p>
      <w:pPr>
        <w:spacing w:line="360" w:lineRule="auto"/>
        <w:rPr>
          <w:rFonts w:ascii="宋体" w:hAnsi="宋体" w:cs="宋体"/>
          <w:bCs/>
          <w:szCs w:val="21"/>
        </w:rPr>
      </w:pPr>
      <w:r>
        <w:rPr>
          <w:rFonts w:hint="eastAsia" w:ascii="宋体" w:hAnsi="宋体" w:cs="宋体"/>
          <w:bCs/>
          <w:szCs w:val="21"/>
        </w:rPr>
        <w:t>（一）政策终结的含义</w:t>
      </w:r>
    </w:p>
    <w:p>
      <w:pPr>
        <w:spacing w:line="360" w:lineRule="auto"/>
        <w:ind w:firstLine="630" w:firstLineChars="300"/>
        <w:rPr>
          <w:rFonts w:ascii="宋体" w:hAnsi="宋体" w:cs="宋体"/>
          <w:bCs/>
          <w:szCs w:val="21"/>
        </w:rPr>
      </w:pPr>
      <w:r>
        <w:rPr>
          <w:rFonts w:hint="eastAsia" w:ascii="宋体" w:hAnsi="宋体" w:cs="宋体"/>
          <w:bCs/>
          <w:szCs w:val="21"/>
        </w:rPr>
        <w:t>识记：政策终结的概念</w:t>
      </w:r>
    </w:p>
    <w:p>
      <w:pPr>
        <w:spacing w:line="360" w:lineRule="auto"/>
        <w:ind w:firstLine="630" w:firstLineChars="300"/>
        <w:rPr>
          <w:rFonts w:ascii="宋体" w:hAnsi="宋体" w:cs="宋体"/>
          <w:bCs/>
          <w:szCs w:val="21"/>
        </w:rPr>
      </w:pPr>
      <w:r>
        <w:rPr>
          <w:rFonts w:hint="eastAsia" w:ascii="宋体" w:hAnsi="宋体" w:cs="宋体"/>
          <w:bCs/>
          <w:szCs w:val="21"/>
        </w:rPr>
        <w:t>理解：政策终结的作用，政策终结的类型</w:t>
      </w:r>
    </w:p>
    <w:p>
      <w:pPr>
        <w:spacing w:line="360" w:lineRule="auto"/>
        <w:rPr>
          <w:rFonts w:ascii="宋体" w:hAnsi="宋体" w:cs="宋体"/>
          <w:bCs/>
          <w:szCs w:val="21"/>
        </w:rPr>
      </w:pPr>
      <w:r>
        <w:rPr>
          <w:rFonts w:hint="eastAsia" w:ascii="宋体" w:hAnsi="宋体" w:cs="宋体"/>
          <w:bCs/>
          <w:szCs w:val="21"/>
        </w:rPr>
        <w:t>（二）政策终结的对象与形式</w:t>
      </w:r>
    </w:p>
    <w:p>
      <w:pPr>
        <w:spacing w:line="360" w:lineRule="auto"/>
        <w:ind w:firstLine="630" w:firstLineChars="300"/>
        <w:rPr>
          <w:rFonts w:ascii="宋体" w:hAnsi="宋体" w:cs="宋体"/>
          <w:bCs/>
          <w:szCs w:val="21"/>
        </w:rPr>
      </w:pPr>
      <w:r>
        <w:rPr>
          <w:rFonts w:hint="eastAsia" w:ascii="宋体" w:hAnsi="宋体" w:cs="宋体"/>
          <w:bCs/>
          <w:szCs w:val="21"/>
        </w:rPr>
        <w:t>理解：政策终结的对象，政策终结的形式</w:t>
      </w:r>
    </w:p>
    <w:p>
      <w:pPr>
        <w:spacing w:line="360" w:lineRule="auto"/>
        <w:rPr>
          <w:rFonts w:ascii="宋体" w:hAnsi="宋体" w:cs="宋体"/>
          <w:bCs/>
          <w:szCs w:val="21"/>
        </w:rPr>
      </w:pPr>
      <w:r>
        <w:rPr>
          <w:rFonts w:hint="eastAsia" w:ascii="宋体" w:hAnsi="宋体" w:cs="宋体"/>
          <w:bCs/>
          <w:szCs w:val="21"/>
        </w:rPr>
        <w:t>（三）政策终结的障碍与措施</w:t>
      </w:r>
    </w:p>
    <w:p>
      <w:pPr>
        <w:spacing w:line="360" w:lineRule="auto"/>
        <w:ind w:firstLine="630" w:firstLineChars="300"/>
        <w:rPr>
          <w:rFonts w:ascii="宋体" w:hAnsi="宋体" w:cs="宋体"/>
          <w:bCs/>
          <w:szCs w:val="21"/>
        </w:rPr>
      </w:pPr>
      <w:r>
        <w:rPr>
          <w:rFonts w:hint="eastAsia" w:ascii="宋体" w:hAnsi="宋体" w:cs="宋体"/>
          <w:bCs/>
          <w:szCs w:val="21"/>
        </w:rPr>
        <w:t>理解：政策终结障碍的理论框架</w:t>
      </w:r>
    </w:p>
    <w:p>
      <w:pPr>
        <w:spacing w:line="360" w:lineRule="auto"/>
        <w:ind w:firstLine="630" w:firstLineChars="300"/>
        <w:rPr>
          <w:rFonts w:ascii="宋体" w:hAnsi="宋体" w:cs="宋体"/>
          <w:bCs/>
          <w:szCs w:val="21"/>
        </w:rPr>
      </w:pPr>
      <w:r>
        <w:rPr>
          <w:rFonts w:hint="eastAsia" w:ascii="宋体" w:hAnsi="宋体" w:cs="宋体"/>
          <w:bCs/>
          <w:szCs w:val="21"/>
        </w:rPr>
        <w:t>应用：分析政策终结障碍的表现及其应对</w:t>
      </w:r>
    </w:p>
    <w:p>
      <w:pPr>
        <w:ind w:firstLine="420"/>
        <w:jc w:val="center"/>
        <w:rPr>
          <w:rFonts w:ascii="宋体" w:hAnsi="宋体" w:cs="宋体"/>
          <w:b/>
          <w:bCs/>
          <w:szCs w:val="21"/>
        </w:rPr>
      </w:pPr>
      <w:r>
        <w:rPr>
          <w:rFonts w:hint="eastAsia" w:ascii="宋体" w:hAnsi="宋体" w:cs="宋体"/>
          <w:b/>
          <w:bCs/>
          <w:szCs w:val="21"/>
        </w:rPr>
        <w:t>第三部分有关说明与实施要求</w:t>
      </w:r>
    </w:p>
    <w:p>
      <w:pPr>
        <w:ind w:firstLine="420"/>
        <w:jc w:val="center"/>
        <w:rPr>
          <w:rFonts w:ascii="宋体" w:hAnsi="宋体" w:cs="宋体"/>
          <w:b/>
          <w:bCs/>
          <w:szCs w:val="21"/>
        </w:rPr>
      </w:pPr>
    </w:p>
    <w:p>
      <w:pPr>
        <w:spacing w:line="360" w:lineRule="auto"/>
        <w:rPr>
          <w:rFonts w:ascii="宋体" w:hAnsi="宋体" w:cs="宋体"/>
          <w:b/>
          <w:bCs/>
          <w:szCs w:val="21"/>
        </w:rPr>
      </w:pPr>
      <w:r>
        <w:rPr>
          <w:rFonts w:hint="eastAsia" w:ascii="宋体" w:hAnsi="宋体" w:cs="宋体"/>
          <w:b/>
          <w:bCs/>
          <w:szCs w:val="21"/>
        </w:rPr>
        <w:t>一、考核的能力层次表述</w:t>
      </w:r>
    </w:p>
    <w:p>
      <w:pPr>
        <w:spacing w:line="360" w:lineRule="auto"/>
        <w:ind w:firstLine="420" w:firstLineChars="200"/>
        <w:rPr>
          <w:rFonts w:ascii="宋体" w:hAnsi="宋体" w:cs="宋体"/>
          <w:szCs w:val="21"/>
        </w:rPr>
      </w:pPr>
      <w:r>
        <w:rPr>
          <w:rFonts w:hint="eastAsia" w:ascii="宋体" w:hAnsi="宋体" w:cs="宋体"/>
          <w:szCs w:val="21"/>
        </w:rPr>
        <w:t xml:space="preserve">本大纲在考核目标中，按照“识记”、“理解”、“应用”三个能力层次规定其应达到的能力层次要求。各能力层次为递进等级关系，后者必须建立在前者的基础上，其含义是： </w:t>
      </w:r>
    </w:p>
    <w:p>
      <w:pPr>
        <w:pStyle w:val="4"/>
        <w:spacing w:line="360" w:lineRule="auto"/>
        <w:ind w:firstLine="420"/>
        <w:rPr>
          <w:rFonts w:hAnsi="宋体" w:cs="宋体"/>
          <w:szCs w:val="21"/>
        </w:rPr>
      </w:pPr>
      <w:r>
        <w:rPr>
          <w:rFonts w:hint="eastAsia" w:hAnsi="宋体" w:cs="宋体"/>
          <w:szCs w:val="21"/>
        </w:rPr>
        <w:t>识记：能知道有关的名词、概念、知识的含义，并能正确认识和表述，是低层次的要求。</w:t>
      </w:r>
    </w:p>
    <w:p>
      <w:pPr>
        <w:pStyle w:val="4"/>
        <w:spacing w:line="360" w:lineRule="auto"/>
        <w:ind w:firstLine="420"/>
        <w:rPr>
          <w:rFonts w:hAnsi="宋体" w:cs="宋体"/>
          <w:szCs w:val="21"/>
        </w:rPr>
      </w:pPr>
      <w:r>
        <w:rPr>
          <w:rFonts w:hint="eastAsia" w:hAnsi="宋体" w:cs="宋体"/>
          <w:szCs w:val="21"/>
        </w:rPr>
        <w:t>理解：在识记的基础上，能全面把握基本概念、基本原理、基本方法，能掌握有关概念、原理、方法的区别与联系，是较高层次的要求。</w:t>
      </w:r>
    </w:p>
    <w:p>
      <w:pPr>
        <w:pStyle w:val="4"/>
        <w:spacing w:line="360" w:lineRule="auto"/>
        <w:ind w:firstLine="420" w:firstLineChars="200"/>
        <w:rPr>
          <w:rFonts w:hAnsi="宋体" w:cs="宋体"/>
          <w:szCs w:val="21"/>
        </w:rPr>
      </w:pPr>
      <w:r>
        <w:rPr>
          <w:rFonts w:hint="eastAsia" w:hAnsi="宋体" w:cs="宋体"/>
          <w:szCs w:val="21"/>
        </w:rPr>
        <w:t>应用：在理解的基础上，能运用基本概念、基本原理、基本方法联系学过的多个知识点分析和解决有关的理论问题和实际问题，是最高层次的要求。</w:t>
      </w:r>
    </w:p>
    <w:p>
      <w:pPr>
        <w:spacing w:line="360" w:lineRule="auto"/>
        <w:rPr>
          <w:rFonts w:ascii="宋体" w:hAnsi="宋体" w:cs="宋体"/>
          <w:b/>
          <w:bCs/>
          <w:szCs w:val="21"/>
        </w:rPr>
      </w:pPr>
      <w:r>
        <w:rPr>
          <w:rFonts w:hint="eastAsia" w:ascii="宋体" w:hAnsi="宋体" w:cs="宋体"/>
          <w:b/>
          <w:bCs/>
          <w:szCs w:val="21"/>
        </w:rPr>
        <w:t>二、指定教材</w:t>
      </w:r>
    </w:p>
    <w:p>
      <w:pPr>
        <w:spacing w:line="360" w:lineRule="auto"/>
        <w:ind w:firstLine="420" w:firstLineChars="200"/>
        <w:rPr>
          <w:rFonts w:ascii="宋体" w:hAnsi="宋体" w:cs="宋体"/>
          <w:bCs/>
          <w:szCs w:val="21"/>
        </w:rPr>
      </w:pPr>
      <w:r>
        <w:rPr>
          <w:rFonts w:hint="eastAsia" w:ascii="宋体" w:hAnsi="宋体" w:cs="宋体"/>
          <w:szCs w:val="21"/>
        </w:rPr>
        <w:t>《公共政策导论</w:t>
      </w:r>
      <w:r>
        <w:rPr>
          <w:rFonts w:hint="eastAsia" w:ascii="宋体" w:hAnsi="宋体" w:cs="宋体"/>
          <w:szCs w:val="21"/>
          <w:lang w:eastAsia="zh-CN"/>
        </w:rPr>
        <w:t>（</w:t>
      </w:r>
      <w:r>
        <w:rPr>
          <w:rFonts w:hint="eastAsia" w:ascii="宋体" w:hAnsi="宋体" w:cs="宋体"/>
          <w:szCs w:val="21"/>
          <w:lang w:val="en-US" w:eastAsia="zh-CN"/>
        </w:rPr>
        <w:t>第五版）</w:t>
      </w:r>
      <w:bookmarkStart w:id="0" w:name="_GoBack"/>
      <w:bookmarkEnd w:id="0"/>
      <w:r>
        <w:rPr>
          <w:rFonts w:hint="eastAsia" w:ascii="宋体" w:hAnsi="宋体" w:cs="宋体"/>
          <w:szCs w:val="21"/>
        </w:rPr>
        <w:t>》，谢明 编著，中国人民大学出版社，2020年版</w:t>
      </w:r>
    </w:p>
    <w:p>
      <w:pPr>
        <w:spacing w:line="360" w:lineRule="auto"/>
        <w:rPr>
          <w:rFonts w:ascii="宋体" w:hAnsi="宋体" w:cs="宋体"/>
          <w:b/>
          <w:bCs/>
          <w:szCs w:val="21"/>
        </w:rPr>
      </w:pPr>
      <w:r>
        <w:rPr>
          <w:rFonts w:hint="eastAsia" w:ascii="宋体" w:hAnsi="宋体" w:cs="宋体"/>
          <w:b/>
          <w:bCs/>
          <w:szCs w:val="21"/>
        </w:rPr>
        <w:t>三、自学方法指导</w:t>
      </w:r>
    </w:p>
    <w:p>
      <w:pPr>
        <w:spacing w:line="360" w:lineRule="auto"/>
        <w:ind w:firstLine="420" w:firstLineChars="200"/>
        <w:rPr>
          <w:rFonts w:ascii="宋体" w:hAnsi="宋体" w:cs="宋体"/>
          <w:bCs/>
          <w:szCs w:val="21"/>
        </w:rPr>
      </w:pPr>
      <w:r>
        <w:rPr>
          <w:rFonts w:hint="eastAsia" w:ascii="宋体" w:hAnsi="宋体" w:cs="宋体"/>
          <w:bCs/>
          <w:szCs w:val="21"/>
        </w:rPr>
        <w:t>1、在开始阅读指定教材某一章之前，先翻阅大纲中有关这一章的考核知识点及对知识点的能力层次要求和考核目标，以便在阅读教材时做到心中有数，有的放矢。</w:t>
      </w:r>
    </w:p>
    <w:p>
      <w:pPr>
        <w:spacing w:line="360" w:lineRule="auto"/>
        <w:ind w:firstLine="420" w:firstLineChars="200"/>
        <w:rPr>
          <w:rFonts w:ascii="宋体" w:hAnsi="宋体" w:cs="宋体"/>
          <w:bCs/>
          <w:szCs w:val="21"/>
        </w:rPr>
      </w:pPr>
      <w:r>
        <w:rPr>
          <w:rFonts w:hint="eastAsia" w:ascii="宋体" w:hAnsi="宋体" w:cs="宋体"/>
          <w:bCs/>
          <w:szCs w:val="21"/>
        </w:rPr>
        <w:t>2、阅读教材时，要逐段细读，逐句推敲，集中精力，吃透每一个知识点，对基本概念必须深刻理解，对基本理论必须彻底弄清，对基本方法必须牢固掌握。</w:t>
      </w:r>
    </w:p>
    <w:p>
      <w:pPr>
        <w:spacing w:line="360" w:lineRule="auto"/>
        <w:ind w:firstLine="420" w:firstLineChars="200"/>
        <w:rPr>
          <w:rFonts w:ascii="宋体" w:hAnsi="宋体" w:cs="宋体"/>
          <w:bCs/>
          <w:szCs w:val="21"/>
        </w:rPr>
      </w:pPr>
      <w:r>
        <w:rPr>
          <w:rFonts w:hint="eastAsia" w:ascii="宋体" w:hAnsi="宋体" w:cs="宋体"/>
          <w:bCs/>
          <w:szCs w:val="21"/>
        </w:rPr>
        <w:t>3、在自学过程中，既要思考问题，也要做好阅读笔记，把教材中的基本概念、原理、方法等加以整理，这可从中加深对问题的认知、理解和记忆，以利于突出重点，并涵盖整个内容，可以不断提高自学能力。</w:t>
      </w:r>
    </w:p>
    <w:p>
      <w:pPr>
        <w:spacing w:line="360" w:lineRule="auto"/>
        <w:ind w:firstLine="420" w:firstLineChars="200"/>
        <w:rPr>
          <w:rFonts w:ascii="宋体" w:hAnsi="宋体" w:cs="宋体"/>
          <w:bCs/>
          <w:szCs w:val="21"/>
        </w:rPr>
      </w:pPr>
      <w:r>
        <w:rPr>
          <w:rFonts w:hint="eastAsia" w:ascii="宋体" w:hAnsi="宋体" w:cs="宋体"/>
          <w:bCs/>
          <w:szCs w:val="21"/>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spacing w:line="360" w:lineRule="auto"/>
        <w:rPr>
          <w:rFonts w:ascii="宋体" w:hAnsi="宋体" w:cs="宋体"/>
          <w:b/>
          <w:bCs/>
          <w:szCs w:val="21"/>
        </w:rPr>
      </w:pPr>
      <w:r>
        <w:rPr>
          <w:rFonts w:hint="eastAsia" w:ascii="宋体" w:hAnsi="宋体" w:cs="宋体"/>
          <w:b/>
          <w:bCs/>
          <w:szCs w:val="21"/>
        </w:rPr>
        <w:t>四、对社会助学的要求</w:t>
      </w:r>
    </w:p>
    <w:p>
      <w:pPr>
        <w:spacing w:line="360" w:lineRule="auto"/>
        <w:ind w:left="720" w:hanging="360"/>
        <w:rPr>
          <w:rFonts w:ascii="宋体" w:hAnsi="宋体" w:cs="宋体"/>
          <w:bCs/>
          <w:szCs w:val="21"/>
        </w:rPr>
      </w:pPr>
      <w:r>
        <w:rPr>
          <w:rFonts w:hint="eastAsia" w:ascii="宋体" w:hAnsi="宋体" w:cs="宋体"/>
          <w:bCs/>
          <w:szCs w:val="21"/>
        </w:rPr>
        <w:t xml:space="preserve">1、应熟知考试大纲对课程提出的总要求和各章的知识点。 </w:t>
      </w:r>
    </w:p>
    <w:p>
      <w:pPr>
        <w:spacing w:line="360" w:lineRule="auto"/>
        <w:ind w:left="720" w:hanging="360"/>
        <w:rPr>
          <w:rFonts w:ascii="宋体" w:hAnsi="宋体" w:cs="宋体"/>
          <w:bCs/>
          <w:szCs w:val="21"/>
        </w:rPr>
      </w:pPr>
      <w:r>
        <w:rPr>
          <w:rFonts w:hint="eastAsia" w:ascii="宋体" w:hAnsi="宋体" w:cs="宋体"/>
          <w:bCs/>
          <w:szCs w:val="21"/>
        </w:rPr>
        <w:t xml:space="preserve">2、应掌握各知识点要求达到的能力层次，并深刻理解对各知识点的考核目标。 </w:t>
      </w:r>
    </w:p>
    <w:p>
      <w:pPr>
        <w:spacing w:line="360" w:lineRule="auto"/>
        <w:ind w:firstLine="360"/>
        <w:rPr>
          <w:rFonts w:ascii="宋体" w:hAnsi="宋体" w:cs="宋体"/>
          <w:bCs/>
          <w:szCs w:val="21"/>
        </w:rPr>
      </w:pPr>
      <w:r>
        <w:rPr>
          <w:rFonts w:hint="eastAsia" w:ascii="宋体" w:hAnsi="宋体" w:cs="宋体"/>
          <w:bCs/>
          <w:szCs w:val="21"/>
        </w:rPr>
        <w:t>3、辅导时，应以考试大纲为依据，指定的教材为基础，不要随意增删内容，以免与大纲脱节。</w:t>
      </w:r>
    </w:p>
    <w:p>
      <w:pPr>
        <w:spacing w:line="360" w:lineRule="auto"/>
        <w:ind w:firstLine="360"/>
        <w:rPr>
          <w:rFonts w:ascii="宋体" w:hAnsi="宋体" w:cs="宋体"/>
          <w:bCs/>
          <w:szCs w:val="21"/>
        </w:rPr>
      </w:pPr>
      <w:r>
        <w:rPr>
          <w:rFonts w:hint="eastAsia" w:ascii="宋体" w:hAnsi="宋体" w:cs="宋体"/>
          <w:bCs/>
          <w:szCs w:val="21"/>
        </w:rPr>
        <w:t xml:space="preserve">4、辅导时，应对学习方法进行指导，宜提倡"认真阅读教材，刻苦钻研教材，主动争取帮助，依靠自己学通"的方法。 </w:t>
      </w:r>
    </w:p>
    <w:p>
      <w:pPr>
        <w:spacing w:line="360" w:lineRule="auto"/>
        <w:ind w:left="720" w:hanging="360"/>
        <w:rPr>
          <w:rFonts w:ascii="宋体" w:hAnsi="宋体" w:cs="宋体"/>
          <w:bCs/>
          <w:szCs w:val="21"/>
        </w:rPr>
      </w:pPr>
      <w:r>
        <w:rPr>
          <w:rFonts w:hint="eastAsia" w:ascii="宋体" w:hAnsi="宋体" w:cs="宋体"/>
          <w:bCs/>
          <w:szCs w:val="21"/>
        </w:rPr>
        <w:t xml:space="preserve">5、辅导时，要注意突出重点，对考生提出的问题，不要有问即答，要积极启发引导。 </w:t>
      </w:r>
    </w:p>
    <w:p>
      <w:pPr>
        <w:spacing w:line="360" w:lineRule="auto"/>
        <w:ind w:firstLine="360"/>
        <w:rPr>
          <w:rFonts w:ascii="宋体" w:hAnsi="宋体" w:cs="宋体"/>
          <w:bCs/>
          <w:szCs w:val="21"/>
        </w:rPr>
      </w:pPr>
      <w:r>
        <w:rPr>
          <w:rFonts w:hint="eastAsia" w:ascii="宋体" w:hAnsi="宋体" w:cs="宋体"/>
          <w:bCs/>
          <w:szCs w:val="21"/>
        </w:rPr>
        <w:t xml:space="preserve">6、注意对应考者能力的培养，特别是自学能力的培养，要引导考生逐步学会独立学习，在自学过程中善于提出问题，分析问题，做出判断，解决问题。 </w:t>
      </w:r>
    </w:p>
    <w:p>
      <w:pPr>
        <w:spacing w:line="360" w:lineRule="auto"/>
        <w:ind w:firstLine="360"/>
        <w:rPr>
          <w:rFonts w:ascii="宋体" w:hAnsi="宋体" w:cs="宋体"/>
          <w:bCs/>
          <w:szCs w:val="21"/>
        </w:rPr>
      </w:pPr>
      <w:r>
        <w:rPr>
          <w:rFonts w:hint="eastAsia" w:ascii="宋体" w:hAnsi="宋体" w:cs="宋体"/>
          <w:bCs/>
          <w:szCs w:val="21"/>
        </w:rPr>
        <w:t xml:space="preserve">7、要使考生了解试题的难易与能力层次高低两者不完全是一回事，在各个能力层次中会存在着不同难度的试题。 </w:t>
      </w:r>
    </w:p>
    <w:p>
      <w:pPr>
        <w:spacing w:line="360" w:lineRule="auto"/>
        <w:ind w:firstLine="420" w:firstLineChars="200"/>
        <w:rPr>
          <w:rFonts w:ascii="宋体" w:hAnsi="宋体" w:cs="宋体"/>
          <w:bCs/>
          <w:szCs w:val="21"/>
        </w:rPr>
      </w:pPr>
      <w:r>
        <w:rPr>
          <w:rFonts w:hint="eastAsia" w:ascii="宋体" w:hAnsi="宋体" w:cs="宋体"/>
          <w:bCs/>
          <w:szCs w:val="21"/>
        </w:rPr>
        <w:t xml:space="preserve">8、助学学时：本课程共5学分，建议总课时90学时，其中助学课时分配如下： </w:t>
      </w:r>
    </w:p>
    <w:tbl>
      <w:tblPr>
        <w:tblStyle w:val="8"/>
        <w:tblW w:w="0" w:type="auto"/>
        <w:tblInd w:w="10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32"/>
        <w:gridCol w:w="2841"/>
        <w:gridCol w:w="180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1832"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szCs w:val="21"/>
              </w:rPr>
            </w:pPr>
            <w:r>
              <w:rPr>
                <w:rFonts w:hint="eastAsia" w:ascii="宋体" w:hAnsi="宋体" w:cs="宋体"/>
                <w:bCs/>
                <w:szCs w:val="21"/>
              </w:rPr>
              <w:t>章 次</w:t>
            </w:r>
          </w:p>
        </w:tc>
        <w:tc>
          <w:tcPr>
            <w:tcW w:w="284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szCs w:val="21"/>
              </w:rPr>
            </w:pPr>
            <w:r>
              <w:rPr>
                <w:rFonts w:hint="eastAsia" w:ascii="宋体" w:hAnsi="宋体" w:cs="宋体"/>
                <w:bCs/>
                <w:szCs w:val="21"/>
              </w:rPr>
              <w:t>内 容</w:t>
            </w:r>
          </w:p>
        </w:tc>
        <w:tc>
          <w:tcPr>
            <w:tcW w:w="1807"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szCs w:val="21"/>
              </w:rPr>
            </w:pPr>
            <w:r>
              <w:rPr>
                <w:rFonts w:hint="eastAsia" w:ascii="宋体" w:hAnsi="宋体" w:cs="宋体"/>
                <w:bCs/>
                <w:szCs w:val="21"/>
              </w:rPr>
              <w:t>学 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Cs/>
                <w:szCs w:val="21"/>
              </w:rPr>
            </w:pPr>
            <w:r>
              <w:rPr>
                <w:rFonts w:hint="eastAsia" w:ascii="宋体" w:hAnsi="宋体" w:cs="宋体"/>
                <w:bCs/>
                <w:szCs w:val="21"/>
              </w:rPr>
              <w:t>第一章</w:t>
            </w:r>
          </w:p>
        </w:tc>
        <w:tc>
          <w:tcPr>
            <w:tcW w:w="284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Cs/>
                <w:szCs w:val="21"/>
              </w:rPr>
            </w:pPr>
            <w:r>
              <w:rPr>
                <w:rFonts w:hint="eastAsia" w:ascii="宋体" w:hAnsi="宋体" w:cs="宋体"/>
                <w:bCs/>
                <w:szCs w:val="21"/>
              </w:rPr>
              <w:t>绪论</w:t>
            </w:r>
          </w:p>
        </w:tc>
        <w:tc>
          <w:tcPr>
            <w:tcW w:w="180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Cs/>
                <w:szCs w:val="21"/>
              </w:rPr>
            </w:pPr>
            <w:r>
              <w:rPr>
                <w:rFonts w:hint="eastAsia" w:ascii="宋体" w:hAnsi="宋体" w:cs="宋体"/>
                <w:bCs/>
                <w:szCs w:val="21"/>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s="宋体"/>
                <w:bCs/>
                <w:szCs w:val="21"/>
              </w:rPr>
            </w:pPr>
            <w:r>
              <w:rPr>
                <w:rFonts w:hint="eastAsia" w:ascii="宋体" w:hAnsi="宋体" w:cs="宋体"/>
                <w:bCs/>
                <w:szCs w:val="21"/>
              </w:rPr>
              <w:t xml:space="preserve">第二章 </w:t>
            </w:r>
          </w:p>
        </w:tc>
        <w:tc>
          <w:tcPr>
            <w:tcW w:w="284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szCs w:val="21"/>
              </w:rPr>
            </w:pPr>
            <w:r>
              <w:rPr>
                <w:rFonts w:hint="eastAsia" w:ascii="宋体" w:hAnsi="宋体" w:cs="宋体"/>
                <w:bCs/>
                <w:szCs w:val="21"/>
              </w:rPr>
              <w:t>公共政策的形式、类型、特征与作用</w:t>
            </w:r>
          </w:p>
        </w:tc>
        <w:tc>
          <w:tcPr>
            <w:tcW w:w="1807"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szCs w:val="21"/>
              </w:rPr>
            </w:pPr>
            <w:r>
              <w:rPr>
                <w:rFonts w:hint="eastAsia" w:ascii="宋体" w:hAnsi="宋体" w:cs="宋体"/>
                <w:bCs/>
                <w:szCs w:val="21"/>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s="宋体"/>
                <w:bCs/>
                <w:szCs w:val="21"/>
              </w:rPr>
            </w:pPr>
            <w:r>
              <w:rPr>
                <w:rFonts w:hint="eastAsia" w:ascii="宋体" w:hAnsi="宋体" w:cs="宋体"/>
                <w:bCs/>
                <w:szCs w:val="21"/>
              </w:rPr>
              <w:t xml:space="preserve">第三章 </w:t>
            </w:r>
          </w:p>
        </w:tc>
        <w:tc>
          <w:tcPr>
            <w:tcW w:w="284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szCs w:val="21"/>
              </w:rPr>
            </w:pPr>
            <w:r>
              <w:rPr>
                <w:rFonts w:hint="eastAsia" w:ascii="宋体" w:hAnsi="宋体" w:cs="宋体"/>
                <w:bCs/>
                <w:szCs w:val="21"/>
              </w:rPr>
              <w:t>政策主体、政策客体与政策环境</w:t>
            </w:r>
          </w:p>
        </w:tc>
        <w:tc>
          <w:tcPr>
            <w:tcW w:w="1807"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szCs w:val="21"/>
              </w:rPr>
            </w:pPr>
            <w:r>
              <w:rPr>
                <w:rFonts w:hint="eastAsia" w:ascii="宋体" w:hAnsi="宋体" w:cs="宋体"/>
                <w:bCs/>
                <w:szCs w:val="21"/>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s="宋体"/>
                <w:bCs/>
                <w:szCs w:val="21"/>
              </w:rPr>
            </w:pPr>
            <w:r>
              <w:rPr>
                <w:rFonts w:hint="eastAsia" w:ascii="宋体" w:hAnsi="宋体" w:cs="宋体"/>
                <w:bCs/>
                <w:szCs w:val="21"/>
              </w:rPr>
              <w:t>第四章</w:t>
            </w:r>
          </w:p>
        </w:tc>
        <w:tc>
          <w:tcPr>
            <w:tcW w:w="284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szCs w:val="21"/>
              </w:rPr>
            </w:pPr>
            <w:r>
              <w:rPr>
                <w:rFonts w:hint="eastAsia" w:ascii="宋体" w:hAnsi="宋体" w:cs="宋体"/>
                <w:bCs/>
                <w:szCs w:val="21"/>
              </w:rPr>
              <w:t xml:space="preserve"> 政策模型及其相关理论</w:t>
            </w:r>
          </w:p>
        </w:tc>
        <w:tc>
          <w:tcPr>
            <w:tcW w:w="1807"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szCs w:val="21"/>
              </w:rPr>
            </w:pPr>
            <w:r>
              <w:rPr>
                <w:rFonts w:hint="eastAsia" w:ascii="宋体" w:hAnsi="宋体" w:cs="宋体"/>
                <w:bCs/>
                <w:szCs w:val="21"/>
              </w:rPr>
              <w:t>15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s="宋体"/>
                <w:bCs/>
                <w:szCs w:val="21"/>
              </w:rPr>
            </w:pPr>
            <w:r>
              <w:rPr>
                <w:rFonts w:hint="eastAsia" w:ascii="宋体" w:hAnsi="宋体" w:cs="宋体"/>
                <w:bCs/>
                <w:szCs w:val="21"/>
              </w:rPr>
              <w:t xml:space="preserve">第五章 </w:t>
            </w:r>
          </w:p>
        </w:tc>
        <w:tc>
          <w:tcPr>
            <w:tcW w:w="284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szCs w:val="21"/>
              </w:rPr>
            </w:pPr>
            <w:r>
              <w:rPr>
                <w:rFonts w:hint="eastAsia" w:ascii="宋体" w:hAnsi="宋体" w:cs="宋体"/>
                <w:bCs/>
                <w:szCs w:val="21"/>
              </w:rPr>
              <w:t>政策制定</w:t>
            </w:r>
          </w:p>
        </w:tc>
        <w:tc>
          <w:tcPr>
            <w:tcW w:w="1807"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szCs w:val="21"/>
              </w:rPr>
            </w:pPr>
            <w:r>
              <w:rPr>
                <w:rFonts w:hint="eastAsia" w:ascii="宋体" w:hAnsi="宋体" w:cs="宋体"/>
                <w:bCs/>
                <w:szCs w:val="21"/>
              </w:rPr>
              <w:t>20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s="宋体"/>
                <w:bCs/>
                <w:szCs w:val="21"/>
              </w:rPr>
            </w:pPr>
            <w:r>
              <w:rPr>
                <w:rFonts w:hint="eastAsia" w:ascii="宋体" w:hAnsi="宋体" w:cs="宋体"/>
                <w:bCs/>
                <w:szCs w:val="21"/>
              </w:rPr>
              <w:t xml:space="preserve">第六章 </w:t>
            </w:r>
          </w:p>
        </w:tc>
        <w:tc>
          <w:tcPr>
            <w:tcW w:w="284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szCs w:val="21"/>
              </w:rPr>
            </w:pPr>
            <w:r>
              <w:rPr>
                <w:rFonts w:hint="eastAsia" w:ascii="宋体" w:hAnsi="宋体" w:cs="宋体"/>
                <w:bCs/>
                <w:szCs w:val="21"/>
              </w:rPr>
              <w:t>政策执行</w:t>
            </w:r>
          </w:p>
        </w:tc>
        <w:tc>
          <w:tcPr>
            <w:tcW w:w="1807"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szCs w:val="21"/>
              </w:rPr>
            </w:pPr>
            <w:r>
              <w:rPr>
                <w:rFonts w:hint="eastAsia" w:ascii="宋体" w:hAnsi="宋体" w:cs="宋体"/>
                <w:bCs/>
                <w:szCs w:val="21"/>
              </w:rPr>
              <w:t>15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s="宋体"/>
                <w:bCs/>
                <w:szCs w:val="21"/>
              </w:rPr>
            </w:pPr>
            <w:r>
              <w:rPr>
                <w:rFonts w:hint="eastAsia" w:ascii="宋体" w:hAnsi="宋体" w:cs="宋体"/>
                <w:bCs/>
                <w:szCs w:val="21"/>
              </w:rPr>
              <w:t>第七章</w:t>
            </w:r>
          </w:p>
        </w:tc>
        <w:tc>
          <w:tcPr>
            <w:tcW w:w="284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szCs w:val="21"/>
              </w:rPr>
            </w:pPr>
            <w:r>
              <w:rPr>
                <w:rFonts w:hint="eastAsia" w:ascii="宋体" w:hAnsi="宋体" w:cs="宋体"/>
                <w:bCs/>
                <w:szCs w:val="21"/>
              </w:rPr>
              <w:t xml:space="preserve"> 政策评估</w:t>
            </w:r>
          </w:p>
        </w:tc>
        <w:tc>
          <w:tcPr>
            <w:tcW w:w="1807"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szCs w:val="21"/>
              </w:rPr>
            </w:pPr>
            <w:r>
              <w:rPr>
                <w:rFonts w:hint="eastAsia" w:ascii="宋体" w:hAnsi="宋体" w:cs="宋体"/>
                <w:bCs/>
                <w:szCs w:val="21"/>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s="宋体"/>
                <w:bCs/>
                <w:szCs w:val="21"/>
              </w:rPr>
            </w:pPr>
            <w:r>
              <w:rPr>
                <w:rFonts w:hint="eastAsia" w:ascii="宋体" w:hAnsi="宋体" w:cs="宋体"/>
                <w:bCs/>
                <w:szCs w:val="21"/>
              </w:rPr>
              <w:t>第八章</w:t>
            </w:r>
          </w:p>
        </w:tc>
        <w:tc>
          <w:tcPr>
            <w:tcW w:w="284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szCs w:val="21"/>
              </w:rPr>
            </w:pPr>
            <w:r>
              <w:rPr>
                <w:rFonts w:hint="eastAsia" w:ascii="宋体" w:hAnsi="宋体" w:cs="宋体"/>
                <w:bCs/>
                <w:szCs w:val="21"/>
              </w:rPr>
              <w:t>政策终结</w:t>
            </w:r>
          </w:p>
        </w:tc>
        <w:tc>
          <w:tcPr>
            <w:tcW w:w="1807"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Cs/>
                <w:szCs w:val="21"/>
              </w:rPr>
            </w:pPr>
            <w:r>
              <w:rPr>
                <w:rFonts w:hint="eastAsia" w:ascii="宋体" w:hAnsi="宋体" w:cs="宋体"/>
                <w:bCs/>
                <w:szCs w:val="21"/>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1" w:hRule="atLeast"/>
        </w:trPr>
        <w:tc>
          <w:tcPr>
            <w:tcW w:w="4673" w:type="dxa"/>
            <w:gridSpan w:val="2"/>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s="宋体"/>
                <w:bCs/>
                <w:szCs w:val="21"/>
              </w:rPr>
            </w:pPr>
            <w:r>
              <w:rPr>
                <w:rFonts w:hint="eastAsia" w:ascii="宋体" w:hAnsi="宋体" w:cs="宋体"/>
                <w:bCs/>
                <w:szCs w:val="21"/>
              </w:rPr>
              <w:t>合     计</w:t>
            </w:r>
          </w:p>
        </w:tc>
        <w:tc>
          <w:tcPr>
            <w:tcW w:w="1807"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cs="宋体"/>
                <w:bCs/>
                <w:szCs w:val="21"/>
              </w:rPr>
            </w:pPr>
            <w:r>
              <w:rPr>
                <w:rFonts w:hint="eastAsia" w:ascii="宋体" w:hAnsi="宋体" w:cs="宋体"/>
                <w:bCs/>
                <w:szCs w:val="21"/>
              </w:rPr>
              <w:t>90</w:t>
            </w:r>
          </w:p>
        </w:tc>
      </w:tr>
    </w:tbl>
    <w:p>
      <w:pPr>
        <w:spacing w:line="360" w:lineRule="auto"/>
        <w:ind w:firstLine="420" w:firstLineChars="200"/>
        <w:rPr>
          <w:rFonts w:ascii="宋体" w:hAnsi="宋体" w:cs="宋体"/>
          <w:szCs w:val="21"/>
          <w:highlight w:val="yellow"/>
        </w:rPr>
      </w:pPr>
    </w:p>
    <w:p>
      <w:pPr>
        <w:spacing w:line="360" w:lineRule="auto"/>
        <w:rPr>
          <w:rFonts w:ascii="宋体" w:hAnsi="宋体" w:cs="宋体"/>
          <w:b/>
          <w:bCs/>
          <w:szCs w:val="21"/>
        </w:rPr>
      </w:pPr>
      <w:r>
        <w:rPr>
          <w:rFonts w:hint="eastAsia" w:ascii="宋体" w:hAnsi="宋体" w:cs="宋体"/>
          <w:b/>
          <w:bCs/>
          <w:szCs w:val="21"/>
        </w:rPr>
        <w:t>五、关于命题考试的若干规定</w:t>
      </w:r>
    </w:p>
    <w:p>
      <w:pPr>
        <w:pStyle w:val="4"/>
        <w:spacing w:line="360" w:lineRule="auto"/>
        <w:ind w:firstLine="420" w:firstLineChars="200"/>
        <w:rPr>
          <w:rFonts w:hAnsi="宋体" w:cs="宋体"/>
          <w:bCs/>
          <w:szCs w:val="21"/>
        </w:rPr>
      </w:pPr>
      <w:r>
        <w:rPr>
          <w:rFonts w:hint="eastAsia" w:hAnsi="宋体" w:cs="宋体"/>
          <w:bCs/>
          <w:szCs w:val="21"/>
        </w:rPr>
        <w:t>1．本大纲各章所提到的内容和考核目标都是考试内容。试题覆盖到章，适当突出重点。</w:t>
      </w:r>
    </w:p>
    <w:p>
      <w:pPr>
        <w:pStyle w:val="4"/>
        <w:spacing w:line="360" w:lineRule="auto"/>
        <w:ind w:firstLine="420" w:firstLineChars="200"/>
        <w:rPr>
          <w:rFonts w:hAnsi="宋体" w:cs="宋体"/>
          <w:bCs/>
          <w:szCs w:val="21"/>
        </w:rPr>
      </w:pPr>
      <w:r>
        <w:rPr>
          <w:rFonts w:hint="eastAsia" w:hAnsi="宋体" w:cs="宋体"/>
          <w:bCs/>
          <w:szCs w:val="21"/>
        </w:rPr>
        <w:t>2．笔试的比例一般为识记占30%，理解占40%，应用占30%。</w:t>
      </w:r>
    </w:p>
    <w:p>
      <w:pPr>
        <w:pStyle w:val="4"/>
        <w:spacing w:line="360" w:lineRule="auto"/>
        <w:ind w:firstLine="420" w:firstLineChars="200"/>
        <w:rPr>
          <w:rFonts w:hAnsi="宋体" w:cs="宋体"/>
          <w:bCs/>
          <w:szCs w:val="21"/>
        </w:rPr>
      </w:pPr>
      <w:r>
        <w:rPr>
          <w:rFonts w:hint="eastAsia" w:hAnsi="宋体" w:cs="宋体"/>
          <w:bCs/>
          <w:szCs w:val="21"/>
        </w:rPr>
        <w:t>3. 试题难易程度应合理：易、中等难度、难。难题部分比例不超过30%。</w:t>
      </w:r>
    </w:p>
    <w:p>
      <w:pPr>
        <w:pStyle w:val="4"/>
        <w:spacing w:line="360" w:lineRule="auto"/>
        <w:ind w:firstLine="420" w:firstLineChars="200"/>
        <w:rPr>
          <w:rFonts w:hAnsi="宋体" w:cs="宋体"/>
          <w:bCs/>
          <w:szCs w:val="21"/>
        </w:rPr>
      </w:pPr>
      <w:r>
        <w:rPr>
          <w:rFonts w:hint="eastAsia" w:hAnsi="宋体" w:cs="宋体"/>
          <w:bCs/>
          <w:szCs w:val="21"/>
        </w:rPr>
        <w:t xml:space="preserve">4．笔试试题类型一般分为：单项选择题、多项选择题、简答题、论述题。 </w:t>
      </w:r>
    </w:p>
    <w:p>
      <w:pPr>
        <w:pStyle w:val="4"/>
        <w:spacing w:line="360" w:lineRule="auto"/>
        <w:ind w:firstLine="420" w:firstLineChars="200"/>
        <w:rPr>
          <w:rFonts w:hAnsi="宋体" w:cs="宋体"/>
          <w:bCs/>
          <w:szCs w:val="21"/>
        </w:rPr>
      </w:pPr>
      <w:r>
        <w:rPr>
          <w:rFonts w:hint="eastAsia" w:hAnsi="宋体" w:cs="宋体"/>
          <w:bCs/>
          <w:szCs w:val="21"/>
        </w:rPr>
        <w:t>5．笔试采用闭卷考核方式，考试时间150分钟，按百分制计分，60分为及格。</w:t>
      </w:r>
    </w:p>
    <w:p>
      <w:pPr>
        <w:spacing w:line="360" w:lineRule="auto"/>
        <w:rPr>
          <w:rFonts w:ascii="宋体" w:hAnsi="宋体" w:cs="宋体"/>
          <w:szCs w:val="21"/>
        </w:rPr>
      </w:pPr>
      <w:r>
        <w:rPr>
          <w:rFonts w:hint="eastAsia" w:ascii="宋体" w:hAnsi="宋体" w:cs="宋体"/>
          <w:b/>
          <w:bCs/>
          <w:szCs w:val="21"/>
        </w:rPr>
        <w:t>六、题型示例</w:t>
      </w:r>
    </w:p>
    <w:p>
      <w:pPr>
        <w:spacing w:line="360" w:lineRule="auto"/>
        <w:rPr>
          <w:rFonts w:ascii="宋体" w:hAnsi="宋体" w:cs="宋体"/>
          <w:szCs w:val="21"/>
        </w:rPr>
      </w:pPr>
      <w:r>
        <w:rPr>
          <w:rFonts w:hint="eastAsia" w:ascii="宋体" w:hAnsi="宋体" w:cs="宋体"/>
          <w:szCs w:val="21"/>
        </w:rPr>
        <w:t>（一）单项选择题</w:t>
      </w:r>
    </w:p>
    <w:p>
      <w:pPr>
        <w:spacing w:line="360" w:lineRule="auto"/>
        <w:ind w:firstLine="420" w:firstLineChars="200"/>
        <w:rPr>
          <w:rFonts w:ascii="宋体" w:hAnsi="宋体" w:cs="宋体"/>
          <w:szCs w:val="21"/>
        </w:rPr>
      </w:pPr>
      <w:r>
        <w:rPr>
          <w:rFonts w:hint="eastAsia" w:ascii="宋体" w:hAnsi="宋体" w:cs="宋体"/>
          <w:szCs w:val="21"/>
        </w:rPr>
        <w:t>政策规划主体既有单一性也有</w:t>
      </w:r>
    </w:p>
    <w:p>
      <w:pPr>
        <w:spacing w:line="360" w:lineRule="auto"/>
        <w:ind w:firstLine="630" w:firstLineChars="300"/>
        <w:rPr>
          <w:rFonts w:ascii="宋体" w:hAnsi="宋体" w:cs="宋体"/>
          <w:szCs w:val="21"/>
        </w:rPr>
      </w:pPr>
      <w:r>
        <w:rPr>
          <w:rFonts w:hint="eastAsia" w:ascii="宋体" w:hAnsi="宋体" w:cs="宋体"/>
          <w:szCs w:val="21"/>
        </w:rPr>
        <w:t>A．多元性    B．复杂性    C．不确定性    D．合法性</w:t>
      </w:r>
    </w:p>
    <w:p>
      <w:pPr>
        <w:spacing w:line="360" w:lineRule="auto"/>
        <w:rPr>
          <w:rFonts w:ascii="宋体" w:hAnsi="宋体" w:cs="宋体"/>
          <w:szCs w:val="21"/>
        </w:rPr>
      </w:pPr>
      <w:r>
        <w:rPr>
          <w:rFonts w:hint="eastAsia" w:ascii="宋体" w:hAnsi="宋体" w:cs="宋体"/>
          <w:szCs w:val="21"/>
        </w:rPr>
        <w:t>（二）多项选择题</w:t>
      </w:r>
    </w:p>
    <w:p>
      <w:pPr>
        <w:spacing w:line="360" w:lineRule="auto"/>
        <w:ind w:firstLine="420" w:firstLineChars="200"/>
        <w:rPr>
          <w:rFonts w:ascii="宋体" w:hAnsi="宋体" w:cs="宋体"/>
          <w:szCs w:val="21"/>
        </w:rPr>
      </w:pPr>
      <w:r>
        <w:rPr>
          <w:rFonts w:hint="eastAsia" w:ascii="宋体" w:hAnsi="宋体" w:cs="宋体"/>
          <w:szCs w:val="21"/>
        </w:rPr>
        <w:t>公共政策的作用是</w:t>
      </w:r>
    </w:p>
    <w:p>
      <w:pPr>
        <w:spacing w:line="360" w:lineRule="auto"/>
        <w:ind w:firstLine="420" w:firstLineChars="200"/>
        <w:rPr>
          <w:rFonts w:ascii="宋体" w:hAnsi="宋体" w:cs="宋体"/>
          <w:szCs w:val="21"/>
        </w:rPr>
      </w:pPr>
      <w:r>
        <w:rPr>
          <w:rFonts w:hint="eastAsia" w:ascii="宋体" w:hAnsi="宋体" w:cs="宋体"/>
          <w:szCs w:val="21"/>
        </w:rPr>
        <w:t xml:space="preserve">   A．导向功能    B．管制功能    C．调控功能    D．分配功能</w:t>
      </w:r>
    </w:p>
    <w:p>
      <w:pPr>
        <w:spacing w:line="360" w:lineRule="auto"/>
        <w:rPr>
          <w:rFonts w:ascii="宋体" w:hAnsi="宋体" w:cs="宋体"/>
          <w:szCs w:val="21"/>
        </w:rPr>
      </w:pPr>
      <w:r>
        <w:rPr>
          <w:rFonts w:hint="eastAsia" w:ascii="宋体" w:hAnsi="宋体" w:cs="宋体"/>
          <w:szCs w:val="21"/>
        </w:rPr>
        <w:t>（三）简答题</w:t>
      </w:r>
    </w:p>
    <w:p>
      <w:pPr>
        <w:spacing w:line="360" w:lineRule="auto"/>
        <w:ind w:firstLine="420" w:firstLineChars="200"/>
        <w:rPr>
          <w:rFonts w:ascii="宋体" w:hAnsi="宋体" w:cs="宋体"/>
          <w:szCs w:val="21"/>
        </w:rPr>
      </w:pPr>
      <w:r>
        <w:rPr>
          <w:rFonts w:hint="eastAsia" w:ascii="宋体" w:hAnsi="宋体" w:cs="宋体"/>
          <w:szCs w:val="21"/>
        </w:rPr>
        <w:t>公共政策有哪些类型？</w:t>
      </w:r>
    </w:p>
    <w:p>
      <w:pPr>
        <w:spacing w:line="360" w:lineRule="auto"/>
        <w:rPr>
          <w:rFonts w:ascii="宋体" w:hAnsi="宋体" w:cs="宋体"/>
          <w:szCs w:val="21"/>
        </w:rPr>
      </w:pPr>
      <w:r>
        <w:rPr>
          <w:rFonts w:hint="eastAsia" w:ascii="宋体" w:hAnsi="宋体" w:cs="宋体"/>
          <w:szCs w:val="21"/>
        </w:rPr>
        <w:t>（四）论述题</w:t>
      </w:r>
    </w:p>
    <w:p>
      <w:pPr>
        <w:ind w:firstLine="420" w:firstLineChars="200"/>
        <w:rPr>
          <w:rFonts w:ascii="宋体" w:hAnsi="宋体" w:cs="宋体"/>
          <w:szCs w:val="21"/>
        </w:rPr>
      </w:pPr>
      <w:r>
        <w:rPr>
          <w:rFonts w:hint="eastAsia" w:ascii="宋体" w:hAnsi="宋体" w:cs="宋体"/>
          <w:szCs w:val="21"/>
        </w:rPr>
        <w:t>公共政策如何体现社会公平？</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ourier New">
    <w:panose1 w:val="02070309020205020404"/>
    <w:charset w:val="00"/>
    <w:family w:val="modern"/>
    <w:pitch w:val="default"/>
    <w:sig w:usb0="E0002A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eDRG8EBAACN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ptKI7dcYsDv/z8cfn15/L7O1lm&#10;efoANWbdB8xLwzs/4NLMfkBnZj2oaPMX+RCMo7jnq7hySETkR+vVel1hSGBsviA+e3geIqT30luS&#10;jYZGnF4RlZ8+QhpT55Rczfk7bUyZoHH/OBAze1jufewxW2nYDxOhvW/PyKfHwTfU4Z5TYj441DXv&#10;yGzE2dhPRq4B4faYsHDpJ6OOUFMxnFJhNG1UXoPH95L18Bdt/w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BeDRG8EBAACNAwAADgAAAAAAAAABACAAAAAeAQAAZHJzL2Uyb0RvYy54bWxQSwUG&#10;AAAAAAYABgBZAQAAUQUAAAAA&#10;">
          <v:path/>
          <v:fill on="f" focussize="0,0"/>
          <v:stroke on="f" joinstyle="miter"/>
          <v:imagedata o:title=""/>
          <o:lock v:ext="edit"/>
          <v:textbox inset="0mm,0mm,0mm,0mm" style="mso-fit-shape-to-text:t;">
            <w:txbxContent>
              <w:p>
                <w:pPr>
                  <w:pStyle w:val="5"/>
                </w:pPr>
                <w:r>
                  <w:fldChar w:fldCharType="begin"/>
                </w:r>
                <w:r>
                  <w:instrText xml:space="preserve"> PAGE  \* MERGEFORMAT </w:instrText>
                </w:r>
                <w:r>
                  <w:fldChar w:fldCharType="separate"/>
                </w:r>
                <w:r>
                  <w:t>9</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6103F8"/>
    <w:multiLevelType w:val="singleLevel"/>
    <w:tmpl w:val="826103F8"/>
    <w:lvl w:ilvl="0" w:tentative="0">
      <w:start w:val="1"/>
      <w:numFmt w:val="chineseCounting"/>
      <w:suff w:val="nothing"/>
      <w:lvlText w:val="（%1）"/>
      <w:lvlJc w:val="left"/>
      <w:rPr>
        <w:rFonts w:hint="eastAsia"/>
      </w:rPr>
    </w:lvl>
  </w:abstractNum>
  <w:abstractNum w:abstractNumId="1">
    <w:nsid w:val="8C3B173B"/>
    <w:multiLevelType w:val="singleLevel"/>
    <w:tmpl w:val="8C3B173B"/>
    <w:lvl w:ilvl="0" w:tentative="0">
      <w:start w:val="1"/>
      <w:numFmt w:val="chineseCounting"/>
      <w:suff w:val="nothing"/>
      <w:lvlText w:val="（%1）"/>
      <w:lvlJc w:val="left"/>
      <w:rPr>
        <w:rFonts w:hint="eastAsia"/>
      </w:rPr>
    </w:lvl>
  </w:abstractNum>
  <w:abstractNum w:abstractNumId="2">
    <w:nsid w:val="B998C062"/>
    <w:multiLevelType w:val="singleLevel"/>
    <w:tmpl w:val="B998C062"/>
    <w:lvl w:ilvl="0" w:tentative="0">
      <w:start w:val="1"/>
      <w:numFmt w:val="chineseCounting"/>
      <w:suff w:val="nothing"/>
      <w:lvlText w:val="（%1）"/>
      <w:lvlJc w:val="left"/>
      <w:rPr>
        <w:rFonts w:hint="eastAsia"/>
      </w:rPr>
    </w:lvl>
  </w:abstractNum>
  <w:abstractNum w:abstractNumId="3">
    <w:nsid w:val="C91AA37E"/>
    <w:multiLevelType w:val="singleLevel"/>
    <w:tmpl w:val="C91AA37E"/>
    <w:lvl w:ilvl="0" w:tentative="0">
      <w:start w:val="1"/>
      <w:numFmt w:val="chineseCounting"/>
      <w:suff w:val="nothing"/>
      <w:lvlText w:val="（%1）"/>
      <w:lvlJc w:val="left"/>
      <w:rPr>
        <w:rFonts w:hint="eastAsia"/>
      </w:rPr>
    </w:lvl>
  </w:abstractNum>
  <w:abstractNum w:abstractNumId="4">
    <w:nsid w:val="F5277C69"/>
    <w:multiLevelType w:val="singleLevel"/>
    <w:tmpl w:val="F5277C69"/>
    <w:lvl w:ilvl="0" w:tentative="0">
      <w:start w:val="2"/>
      <w:numFmt w:val="chineseCounting"/>
      <w:suff w:val="nothing"/>
      <w:lvlText w:val="%1、"/>
      <w:lvlJc w:val="left"/>
      <w:rPr>
        <w:rFonts w:hint="eastAsia"/>
      </w:rPr>
    </w:lvl>
  </w:abstractNum>
  <w:abstractNum w:abstractNumId="5">
    <w:nsid w:val="708B9C82"/>
    <w:multiLevelType w:val="singleLevel"/>
    <w:tmpl w:val="708B9C82"/>
    <w:lvl w:ilvl="0" w:tentative="0">
      <w:start w:val="1"/>
      <w:numFmt w:val="chineseCounting"/>
      <w:suff w:val="nothing"/>
      <w:lvlText w:val="（%1）"/>
      <w:lvlJc w:val="left"/>
      <w:rPr>
        <w:rFonts w:hint="eastAsia"/>
      </w:rPr>
    </w:lvl>
  </w:abstractNum>
  <w:abstractNum w:abstractNumId="6">
    <w:nsid w:val="72ACD605"/>
    <w:multiLevelType w:val="singleLevel"/>
    <w:tmpl w:val="72ACD605"/>
    <w:lvl w:ilvl="0" w:tentative="0">
      <w:start w:val="1"/>
      <w:numFmt w:val="chineseCounting"/>
      <w:suff w:val="nothing"/>
      <w:lvlText w:val="（%1）"/>
      <w:lvlJc w:val="left"/>
      <w:rPr>
        <w:rFonts w:hint="eastAsia"/>
      </w:rPr>
    </w:lvl>
  </w:abstractNum>
  <w:num w:numId="1">
    <w:abstractNumId w:val="4"/>
  </w:num>
  <w:num w:numId="2">
    <w:abstractNumId w:val="3"/>
  </w:num>
  <w:num w:numId="3">
    <w:abstractNumId w:val="2"/>
  </w:num>
  <w:num w:numId="4">
    <w:abstractNumId w:val="5"/>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TdlMzZlYWYzNmRjZWU5NjNhNDU3YTg0YzE3OWI0OWYifQ=="/>
  </w:docVars>
  <w:rsids>
    <w:rsidRoot w:val="003E22E6"/>
    <w:rsid w:val="00007B20"/>
    <w:rsid w:val="0004163B"/>
    <w:rsid w:val="00081D3B"/>
    <w:rsid w:val="00122305"/>
    <w:rsid w:val="001511E5"/>
    <w:rsid w:val="001629C4"/>
    <w:rsid w:val="00194A1A"/>
    <w:rsid w:val="00252F42"/>
    <w:rsid w:val="0026362A"/>
    <w:rsid w:val="002D3C84"/>
    <w:rsid w:val="003143E8"/>
    <w:rsid w:val="003A5878"/>
    <w:rsid w:val="003E22E6"/>
    <w:rsid w:val="00415090"/>
    <w:rsid w:val="00440CA6"/>
    <w:rsid w:val="0052320A"/>
    <w:rsid w:val="005B1E86"/>
    <w:rsid w:val="005F2363"/>
    <w:rsid w:val="006063F7"/>
    <w:rsid w:val="00637269"/>
    <w:rsid w:val="0065614F"/>
    <w:rsid w:val="00662A74"/>
    <w:rsid w:val="006A4EBF"/>
    <w:rsid w:val="006F28D3"/>
    <w:rsid w:val="00762AA8"/>
    <w:rsid w:val="007967F9"/>
    <w:rsid w:val="00842C9E"/>
    <w:rsid w:val="00870476"/>
    <w:rsid w:val="0089540A"/>
    <w:rsid w:val="008C355C"/>
    <w:rsid w:val="0090753C"/>
    <w:rsid w:val="009457E6"/>
    <w:rsid w:val="00946E3D"/>
    <w:rsid w:val="009F0073"/>
    <w:rsid w:val="00AD7088"/>
    <w:rsid w:val="00BD1677"/>
    <w:rsid w:val="00C6115E"/>
    <w:rsid w:val="00CA1C5B"/>
    <w:rsid w:val="00CD18EF"/>
    <w:rsid w:val="00CE785E"/>
    <w:rsid w:val="00D42BD0"/>
    <w:rsid w:val="00D762E7"/>
    <w:rsid w:val="00DF648C"/>
    <w:rsid w:val="00E02F68"/>
    <w:rsid w:val="00E3402C"/>
    <w:rsid w:val="00E82C51"/>
    <w:rsid w:val="00EF3102"/>
    <w:rsid w:val="00FA2FFC"/>
    <w:rsid w:val="00FC3975"/>
    <w:rsid w:val="03C5653F"/>
    <w:rsid w:val="042326A7"/>
    <w:rsid w:val="04577ECA"/>
    <w:rsid w:val="051764C4"/>
    <w:rsid w:val="089A0C44"/>
    <w:rsid w:val="0A2C6E3E"/>
    <w:rsid w:val="0A800783"/>
    <w:rsid w:val="0B173971"/>
    <w:rsid w:val="0B9F12D8"/>
    <w:rsid w:val="0C944FD2"/>
    <w:rsid w:val="0CA10032"/>
    <w:rsid w:val="0F740B72"/>
    <w:rsid w:val="11236621"/>
    <w:rsid w:val="127E6D86"/>
    <w:rsid w:val="1285283D"/>
    <w:rsid w:val="160E59C0"/>
    <w:rsid w:val="187E3F21"/>
    <w:rsid w:val="1CDC373C"/>
    <w:rsid w:val="1D474E79"/>
    <w:rsid w:val="1D5A33B7"/>
    <w:rsid w:val="1FB84B14"/>
    <w:rsid w:val="1FE06EDA"/>
    <w:rsid w:val="20767B30"/>
    <w:rsid w:val="24BD19A9"/>
    <w:rsid w:val="262C77E4"/>
    <w:rsid w:val="26E64983"/>
    <w:rsid w:val="277724F6"/>
    <w:rsid w:val="289A4A39"/>
    <w:rsid w:val="29EA4A80"/>
    <w:rsid w:val="2C7567D9"/>
    <w:rsid w:val="2EDE7814"/>
    <w:rsid w:val="32A441CA"/>
    <w:rsid w:val="33BC3AED"/>
    <w:rsid w:val="36AF5145"/>
    <w:rsid w:val="36D62DA2"/>
    <w:rsid w:val="38DA2963"/>
    <w:rsid w:val="3AB6039F"/>
    <w:rsid w:val="428B165D"/>
    <w:rsid w:val="4A1B0AB0"/>
    <w:rsid w:val="4C3B3017"/>
    <w:rsid w:val="4F22054A"/>
    <w:rsid w:val="552010CE"/>
    <w:rsid w:val="5A4B40E8"/>
    <w:rsid w:val="5F017A65"/>
    <w:rsid w:val="5F91757F"/>
    <w:rsid w:val="64C81BA8"/>
    <w:rsid w:val="6AA4501D"/>
    <w:rsid w:val="6BDA319F"/>
    <w:rsid w:val="6C6D0DA2"/>
    <w:rsid w:val="6CE74021"/>
    <w:rsid w:val="6D2D2FB9"/>
    <w:rsid w:val="7087362A"/>
    <w:rsid w:val="746B7458"/>
    <w:rsid w:val="76F9147F"/>
    <w:rsid w:val="77694A8C"/>
    <w:rsid w:val="7A1B7696"/>
    <w:rsid w:val="7B0D48D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Body Text Indent"/>
    <w:basedOn w:val="1"/>
    <w:link w:val="12"/>
    <w:qFormat/>
    <w:uiPriority w:val="0"/>
    <w:pPr>
      <w:adjustRightInd w:val="0"/>
      <w:spacing w:line="390" w:lineRule="exact"/>
      <w:ind w:firstLine="560" w:firstLineChars="200"/>
      <w:textAlignment w:val="baseline"/>
    </w:pPr>
    <w:rPr>
      <w:rFonts w:ascii="黑体" w:eastAsia="楷体_GB2312"/>
      <w:kern w:val="0"/>
      <w:sz w:val="28"/>
      <w:szCs w:val="20"/>
    </w:rPr>
  </w:style>
  <w:style w:type="paragraph" w:styleId="4">
    <w:name w:val="Plain Text"/>
    <w:basedOn w:val="1"/>
    <w:link w:val="14"/>
    <w:qFormat/>
    <w:uiPriority w:val="0"/>
    <w:rPr>
      <w:rFonts w:ascii="宋体" w:hAnsi="Courier New"/>
      <w:szCs w:val="20"/>
    </w:rPr>
  </w:style>
  <w:style w:type="paragraph" w:styleId="5">
    <w:name w:val="footer"/>
    <w:basedOn w:val="1"/>
    <w:link w:val="1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0"/>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7">
    <w:name w:val="Body Text Indent 3"/>
    <w:basedOn w:val="1"/>
    <w:link w:val="13"/>
    <w:qFormat/>
    <w:uiPriority w:val="0"/>
    <w:pPr>
      <w:ind w:left="900" w:hanging="690"/>
    </w:pPr>
    <w:rPr>
      <w:rFonts w:eastAsia="楷体_GB2312"/>
      <w:b/>
      <w:szCs w:val="20"/>
    </w:rPr>
  </w:style>
  <w:style w:type="character" w:customStyle="1" w:styleId="10">
    <w:name w:val="页眉 Char"/>
    <w:basedOn w:val="9"/>
    <w:link w:val="6"/>
    <w:qFormat/>
    <w:uiPriority w:val="99"/>
    <w:rPr>
      <w:sz w:val="18"/>
      <w:szCs w:val="18"/>
    </w:rPr>
  </w:style>
  <w:style w:type="character" w:customStyle="1" w:styleId="11">
    <w:name w:val="页脚 Char"/>
    <w:basedOn w:val="9"/>
    <w:link w:val="5"/>
    <w:qFormat/>
    <w:uiPriority w:val="99"/>
    <w:rPr>
      <w:sz w:val="18"/>
      <w:szCs w:val="18"/>
    </w:rPr>
  </w:style>
  <w:style w:type="character" w:customStyle="1" w:styleId="12">
    <w:name w:val="正文文本缩进 Char"/>
    <w:basedOn w:val="9"/>
    <w:link w:val="3"/>
    <w:qFormat/>
    <w:uiPriority w:val="0"/>
    <w:rPr>
      <w:rFonts w:ascii="黑体" w:hAnsi="Times New Roman" w:eastAsia="楷体_GB2312" w:cs="Times New Roman"/>
      <w:kern w:val="0"/>
      <w:sz w:val="28"/>
      <w:szCs w:val="20"/>
    </w:rPr>
  </w:style>
  <w:style w:type="character" w:customStyle="1" w:styleId="13">
    <w:name w:val="正文文本缩进 3 Char"/>
    <w:basedOn w:val="9"/>
    <w:link w:val="7"/>
    <w:qFormat/>
    <w:uiPriority w:val="0"/>
    <w:rPr>
      <w:rFonts w:ascii="Times New Roman" w:hAnsi="Times New Roman" w:eastAsia="楷体_GB2312" w:cs="Times New Roman"/>
      <w:b/>
      <w:szCs w:val="20"/>
    </w:rPr>
  </w:style>
  <w:style w:type="character" w:customStyle="1" w:styleId="14">
    <w:name w:val="纯文本 Char"/>
    <w:basedOn w:val="9"/>
    <w:link w:val="4"/>
    <w:qFormat/>
    <w:uiPriority w:val="0"/>
    <w:rPr>
      <w:rFonts w:ascii="宋体" w:hAnsi="Courier New" w:eastAsia="宋体" w:cs="Times New Roman"/>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821</Words>
  <Characters>4686</Characters>
  <Lines>39</Lines>
  <Paragraphs>10</Paragraphs>
  <TotalTime>6</TotalTime>
  <ScaleCrop>false</ScaleCrop>
  <LinksUpToDate>false</LinksUpToDate>
  <CharactersWithSpaces>5497</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2023-12-28T06:40:00Z</dcterms:created>
  <dc:creator>user</dc:creator>
  <cp:lastModifiedBy>郑永旺</cp:lastModifiedBy>
  <cp:lastPrinted>2023-12-28T01:54:00Z</cp:lastPrinted>
  <dcterms:modified xsi:type="dcterms:W3CDTF">2024-03-26T06:40:58Z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43F6B94C4B474DD2AF3C8783B6872680_13</vt:lpwstr>
  </property>
  <property fmtid="{D5CDD505-2E9C-101B-9397-08002B2CF9AE}" pid="4" name="fileWhereFroms">
    <vt:lpwstr>PpjeLB1gRN0lwrPqMaCTkld2D/wb4L7VQCYaYIAZ0X8V0l1eJU/ovEQ6u5QfdbnG3eZpf1Sm9VXkM/4hwP108DLCTGlgzjmz74oZaYni0HSL1Kex5PfDuKQOg5o6epURYtxO86IOndDmKdH77LU7tJmZT4NPXvLzWFY1fFoyjYINCzWKQBN4/HrAg4KJ9y+90LWGmS2+724lGR6PlPyp6wB/dfjc0VPMc4hxxBieO3TJHYy4TGP3tziZUnK/o+aInetVs7/L0fUZIM69MZj/dg==</vt:lpwstr>
  </property>
</Properties>
</file>