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《网络营销创新管理》</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widowControl w:val="0"/>
        <w:autoSpaceDE w:val="0"/>
        <w:autoSpaceDN w:val="0"/>
        <w:spacing w:before="7"/>
        <w:rPr>
          <w:rFonts w:ascii="仿宋" w:hAnsi="仿宋" w:eastAsia="仿宋" w:cs="仿宋"/>
          <w:color w:val="auto"/>
          <w:sz w:val="58"/>
          <w:szCs w:val="24"/>
          <w:lang w:val="zh-CN" w:eastAsia="zh-CN" w:bidi="zh-CN"/>
        </w:rPr>
      </w:pP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125"/>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color w:val="auto"/>
          <w:kern w:val="0"/>
          <w:sz w:val="30"/>
          <w:szCs w:val="22"/>
          <w:lang w:val="en-US" w:bidi="zh-CN"/>
        </w:rPr>
        <w:t xml:space="preserve">  </w:t>
      </w:r>
      <w:r>
        <w:rPr>
          <w:rFonts w:hint="eastAsia" w:ascii="仿宋" w:hAnsi="仿宋" w:eastAsia="仿宋" w:cs="仿宋"/>
          <w:color w:val="auto"/>
          <w:kern w:val="0"/>
          <w:sz w:val="32"/>
          <w:szCs w:val="32"/>
          <w:lang w:val="en-US" w:bidi="zh-CN"/>
        </w:rPr>
        <w:t xml:space="preserve"> </w:t>
      </w:r>
      <w:r>
        <w:rPr>
          <w:rFonts w:hint="eastAsia" w:ascii="仿宋" w:hAnsi="仿宋" w:eastAsia="仿宋" w:cs="仿宋"/>
          <w:snapToGrid w:val="0"/>
          <w:color w:val="auto"/>
          <w:kern w:val="0"/>
          <w:sz w:val="32"/>
          <w:szCs w:val="32"/>
          <w:lang w:val="en-US" w:bidi="zh-CN"/>
        </w:rPr>
        <w:t>适用专业：</w:t>
      </w:r>
      <w:r>
        <w:rPr>
          <w:rFonts w:hint="eastAsia" w:ascii="仿宋" w:hAnsi="仿宋" w:eastAsia="仿宋" w:cs="仿宋"/>
          <w:snapToGrid w:val="0"/>
          <w:color w:val="000000"/>
          <w:sz w:val="32"/>
          <w:szCs w:val="32"/>
          <w:lang w:val="en-US" w:eastAsia="zh-CN"/>
        </w:rPr>
        <w:t>市场营销</w:t>
      </w:r>
      <w:r>
        <w:rPr>
          <w:rFonts w:hint="eastAsia" w:ascii="仿宋" w:hAnsi="仿宋" w:eastAsia="仿宋" w:cs="仿宋"/>
          <w:snapToGrid w:val="0"/>
          <w:color w:val="000000"/>
          <w:sz w:val="32"/>
          <w:szCs w:val="32"/>
          <w:lang w:val="en-US"/>
        </w:rPr>
        <w:t>（专升本）</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hint="default"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课程代码：14346</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课程名称：网络营销创新管理（实践）</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考核方式：现场答辩</w:t>
      </w:r>
    </w:p>
    <w:p>
      <w:pPr>
        <w:widowControl w:val="0"/>
        <w:autoSpaceDE w:val="0"/>
        <w:autoSpaceDN w:val="0"/>
        <w:rPr>
          <w:rFonts w:ascii="仿宋" w:hAnsi="仿宋" w:eastAsia="仿宋" w:cs="仿宋"/>
          <w:color w:val="auto"/>
          <w:sz w:val="32"/>
          <w:szCs w:val="32"/>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spacing w:before="6"/>
        <w:rPr>
          <w:rFonts w:ascii="仿宋" w:hAnsi="仿宋" w:eastAsia="仿宋" w:cs="仿宋"/>
          <w:color w:val="auto"/>
          <w:sz w:val="35"/>
          <w:szCs w:val="24"/>
          <w:lang w:val="zh-CN" w:eastAsia="zh-CN" w:bidi="zh-CN"/>
        </w:rPr>
      </w:pPr>
    </w:p>
    <w:p>
      <w:pPr>
        <w:jc w:val="center"/>
        <w:rPr>
          <w:rFonts w:ascii="仿宋" w:hAnsi="仿宋" w:eastAsia="仿宋" w:cs="仿宋"/>
          <w:color w:val="auto"/>
          <w:sz w:val="30"/>
        </w:rPr>
        <w:sectPr>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创新管理》课程是针对市场营销专业的学生开设的一门重要实践课程。本课程旨在让学生通过实际操作和案例分析，深入理解网络营销的核心概念、策略和工具，从而培养他们在数字化时代中的网络营销能力。通过本课程的学习，学生能够掌握网络营销的基本原理和技巧，并能将理论知识应用于实际的网络营销活动中，以满足现代企业对网络营销专业人才的需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为了帮助学生更好地完成《网络营销创新管理》实践课程的学习与考核，特制定此考核指导书。请学生们在参与实践考核前认真学习相关知识，理解考核的主要内容、方式和目标，并按时完成所有相关任务，提交课程报告和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本课程的考核旨在评估学生对网络营销创新管理的理论知识和实践技能的掌握程度。通过考核，确保学生能够：</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理解并应用网络营销的核心概念和策略。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分析和利用不同的网络营销工具和平台。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制定和执行有效的网络营销计划。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评估网络营销活动的效果，并据此进行优化。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通过案例学习，将理论知识转化为实际的网络营销技能。</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（1）理论知识掌握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理解网络营销的基本概念、与传统营销的区别及其在现代商业环境中的重要性。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掌握各种网络营销工具和平台的使用方法，包括网站营销、搜索引擎营销、Email营销、社群营销、微博营销、即时通讯营销、问答及百科营销和网络广告。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（2）实际操作技能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实施网络营销环境分析，包括市场调研、目标受众分析和竞争对手分析。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设计和实施网络营销策略，包括内容创作、社交媒体管理和在线广告投放。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使用网络分析工具来监控和评估营销活动的效果，以及进行必要的调整和优化。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（3）案例分析与项目实践：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分析并讨论现实世界中的网络营销案例，理解不同策略的应用和效果。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完成至少一个网络营销项目，展示从策略制定到执行的全过程，并进行项目成果展示。</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实践报告的评审、答辩成绩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实践课程的考核形式为：现场答辩。考核提交形式为：课程实践报告（1份）、实习证明（1份），</w:t>
      </w:r>
      <w:r>
        <w:rPr>
          <w:rFonts w:hint="eastAsia" w:ascii="Times New Roman Regular" w:hAnsi="Times New Roman Regular" w:eastAsia="仿宋" w:cs="Times New Roman Regular"/>
          <w:snapToGrid w:val="0"/>
          <w:color w:val="auto"/>
          <w:spacing w:val="-5"/>
          <w:kern w:val="0"/>
          <w:sz w:val="32"/>
          <w:szCs w:val="32"/>
          <w:lang w:val="zh-CN" w:eastAsia="zh-CN" w:bidi="zh-CN"/>
        </w:rPr>
        <w:t>学生 根据实践课程考核指导书选择选题方向 ，</w:t>
      </w:r>
      <w:r>
        <w:rPr>
          <w:rFonts w:hint="eastAsia" w:ascii="Times New Roman Regular" w:hAnsi="Times New Roman Regular" w:eastAsia="仿宋" w:cs="Times New Roman Regular"/>
          <w:snapToGrid w:val="0"/>
          <w:color w:val="auto"/>
          <w:spacing w:val="-5"/>
          <w:kern w:val="0"/>
          <w:sz w:val="32"/>
          <w:szCs w:val="32"/>
          <w:lang w:val="en-US" w:eastAsia="zh-CN" w:bidi="zh-CN"/>
        </w:rPr>
        <w:t>到指定场地进行现场答辩，考核专家组结合考生的实习情况、实践报告评审成绩、现场答辩成绩综合评分，</w:t>
      </w:r>
      <w:r>
        <w:rPr>
          <w:rFonts w:hint="eastAsia" w:ascii="Times New Roman Regular" w:hAnsi="Times New Roman Regular" w:eastAsia="仿宋" w:cs="Times New Roman Regular"/>
          <w:snapToGrid w:val="0"/>
          <w:color w:val="auto"/>
          <w:spacing w:val="-5"/>
          <w:kern w:val="0"/>
          <w:sz w:val="32"/>
          <w:szCs w:val="32"/>
          <w:lang w:val="zh-CN" w:eastAsia="zh-CN" w:bidi="zh-CN"/>
        </w:rPr>
        <w:t>作为该课程的实践考核成绩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五、考核选题方向：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（1）网站营销分析：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设计并分析一个企业网站的营销策略，包括网站结构、内容优化和用户体验。</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2</w:t>
      </w:r>
      <w:r>
        <w:rPr>
          <w:rFonts w:hint="eastAsia" w:ascii="Times New Roman Regular" w:hAnsi="Times New Roman Regular" w:eastAsia="仿宋" w:cs="Times New Roman Regular"/>
          <w:snapToGrid w:val="0"/>
          <w:color w:val="auto"/>
          <w:spacing w:val="-5"/>
          <w:kern w:val="0"/>
          <w:sz w:val="32"/>
          <w:szCs w:val="32"/>
          <w:lang w:val="zh-CN" w:eastAsia="zh-CN" w:bidi="zh-CN"/>
        </w:rPr>
        <w:t>）搜索引擎营销实践：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创建并执行一个搜索引擎营销（SEM）计划，包括关键词策略和广告投放。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3</w:t>
      </w:r>
      <w:r>
        <w:rPr>
          <w:rFonts w:hint="eastAsia" w:ascii="Times New Roman Regular" w:hAnsi="Times New Roman Regular" w:eastAsia="仿宋" w:cs="Times New Roman Regular"/>
          <w:snapToGrid w:val="0"/>
          <w:color w:val="auto"/>
          <w:spacing w:val="-5"/>
          <w:kern w:val="0"/>
          <w:sz w:val="32"/>
          <w:szCs w:val="32"/>
          <w:lang w:val="zh-CN" w:eastAsia="zh-CN" w:bidi="zh-CN"/>
        </w:rPr>
        <w:t>）Email营销策略制定：</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设计一个针对特定目标群体的Email营销活动，包括邮件内容、发送频率和效果评估。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4</w:t>
      </w:r>
      <w:r>
        <w:rPr>
          <w:rFonts w:hint="eastAsia" w:ascii="Times New Roman Regular" w:hAnsi="Times New Roman Regular" w:eastAsia="仿宋" w:cs="Times New Roman Regular"/>
          <w:snapToGrid w:val="0"/>
          <w:color w:val="auto"/>
          <w:spacing w:val="-5"/>
          <w:kern w:val="0"/>
          <w:sz w:val="32"/>
          <w:szCs w:val="32"/>
          <w:lang w:val="zh-CN" w:eastAsia="zh-CN" w:bidi="zh-CN"/>
        </w:rPr>
        <w:t>）社群营销案例研究：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研究并分析一个成功的社群营销案例，探讨其策略、执行和效果评估。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5</w:t>
      </w:r>
      <w:r>
        <w:rPr>
          <w:rFonts w:hint="eastAsia" w:ascii="Times New Roman Regular" w:hAnsi="Times New Roman Regular" w:eastAsia="仿宋" w:cs="Times New Roman Regular"/>
          <w:snapToGrid w:val="0"/>
          <w:color w:val="auto"/>
          <w:spacing w:val="-5"/>
          <w:kern w:val="0"/>
          <w:sz w:val="32"/>
          <w:szCs w:val="32"/>
          <w:lang w:val="zh-CN" w:eastAsia="zh-CN" w:bidi="zh-CN"/>
        </w:rPr>
        <w:t>）微博营销创意策划：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提出一个创新的微博营销方案，包括主题策划、内容创建和互动方式。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6</w:t>
      </w:r>
      <w:r>
        <w:rPr>
          <w:rFonts w:hint="eastAsia" w:ascii="Times New Roman Regular" w:hAnsi="Times New Roman Regular" w:eastAsia="仿宋" w:cs="Times New Roman Regular"/>
          <w:snapToGrid w:val="0"/>
          <w:color w:val="auto"/>
          <w:spacing w:val="-5"/>
          <w:kern w:val="0"/>
          <w:sz w:val="32"/>
          <w:szCs w:val="32"/>
          <w:lang w:val="zh-CN" w:eastAsia="zh-CN" w:bidi="zh-CN"/>
        </w:rPr>
        <w:t>）即时通讯（IM）营销策略设计：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开发一个针对即时通讯平台的营销方案，强调客户互动和品牌传播策略。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7</w:t>
      </w:r>
      <w:r>
        <w:rPr>
          <w:rFonts w:hint="eastAsia" w:ascii="Times New Roman Regular" w:hAnsi="Times New Roman Regular" w:eastAsia="仿宋" w:cs="Times New Roman Regular"/>
          <w:snapToGrid w:val="0"/>
          <w:color w:val="auto"/>
          <w:spacing w:val="-5"/>
          <w:kern w:val="0"/>
          <w:sz w:val="32"/>
          <w:szCs w:val="32"/>
          <w:lang w:val="zh-CN" w:eastAsia="zh-CN" w:bidi="zh-CN"/>
        </w:rPr>
        <w:t>）问答及百科营销效果评估：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分析在问答和百科平台上的营销活动，评估其对品牌知名度和客户参与度的影响。</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8</w:t>
      </w:r>
      <w:r>
        <w:rPr>
          <w:rFonts w:hint="eastAsia" w:ascii="Times New Roman Regular" w:hAnsi="Times New Roman Regular" w:eastAsia="仿宋" w:cs="Times New Roman Regular"/>
          <w:snapToGrid w:val="0"/>
          <w:color w:val="auto"/>
          <w:spacing w:val="-5"/>
          <w:kern w:val="0"/>
          <w:sz w:val="32"/>
          <w:szCs w:val="32"/>
          <w:lang w:val="zh-CN" w:eastAsia="zh-CN" w:bidi="zh-CN"/>
        </w:rPr>
        <w:t>）网络广告创意和投放策略：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设计一个网络广告活动，包括广告创意、目标受众定位和投放渠道的选择。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9</w:t>
      </w:r>
      <w:r>
        <w:rPr>
          <w:rFonts w:hint="eastAsia" w:ascii="Times New Roman Regular" w:hAnsi="Times New Roman Regular" w:eastAsia="仿宋" w:cs="Times New Roman Regular"/>
          <w:snapToGrid w:val="0"/>
          <w:color w:val="auto"/>
          <w:spacing w:val="-5"/>
          <w:kern w:val="0"/>
          <w:sz w:val="32"/>
          <w:szCs w:val="32"/>
          <w:lang w:val="zh-CN" w:eastAsia="zh-CN" w:bidi="zh-CN"/>
        </w:rPr>
        <w:t>）网络营销策略的制定与实施：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制定一个综合的网络营销策略，包括多个网络营销工具的综合应用，以及策略的执行和效果监测。</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六、教材与参考资料（参考书、网络资料）：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（1）指定教材：</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《网络营销》,胡宏力主编，中国人民大学出版社，2020年版.</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（2）参考资料：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《网络营销理论与实务》,杨坚争主编，</w:t>
      </w:r>
      <w:r>
        <w:rPr>
          <w:rFonts w:hint="eastAsia" w:ascii="Times New Roman Regular" w:hAnsi="Times New Roman Regular" w:eastAsia="仿宋" w:cs="Times New Roman Regular"/>
          <w:snapToGrid w:val="0"/>
          <w:color w:val="auto"/>
          <w:spacing w:val="-5"/>
          <w:kern w:val="0"/>
          <w:sz w:val="32"/>
          <w:szCs w:val="32"/>
          <w:lang w:val="zh-CN" w:eastAsia="zh-CN" w:bidi="zh-CN"/>
        </w:rPr>
        <w:t>中国人民大学出版社</w:t>
      </w:r>
      <w:r>
        <w:rPr>
          <w:rFonts w:hint="eastAsia" w:ascii="Times New Roman Regular" w:hAnsi="Times New Roman Regular" w:eastAsia="仿宋" w:cs="Times New Roman Regular"/>
          <w:snapToGrid w:val="0"/>
          <w:color w:val="auto"/>
          <w:spacing w:val="-5"/>
          <w:kern w:val="0"/>
          <w:sz w:val="32"/>
          <w:szCs w:val="32"/>
          <w:lang w:val="en-US" w:eastAsia="zh-CN" w:bidi="zh-CN"/>
        </w:rPr>
        <w:t>，2024年版.</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七 、课程实践报告格式与说明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（1）课程实践报告应根据实践课程考核指导书布置的要求撰写 ，其内容一 般应包括 ：统一封面（含题目 、专业名称 、学生姓名 、准考证号等）、提纲 、 内 容摘要 、正文 、注释（根据需要），字数不少于 0.4 万字以及根据要求完成的其他内容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（2）学生完成课程实践报告后由专业评审教师评定并给出成绩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（3）课程实践报告选题应在该实践课程考核指导书给定的考核选题方向中进行选取 ，严禁抄袭 ，抄袭考生一律取消本次实践考核成绩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（4）课程实践报告格式见附件1。</w:t>
      </w: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lang w:val="zh-CN" w:eastAsia="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before="135" w:line="360" w:lineRule="auto"/>
        <w:ind w:firstLine="17"/>
        <w:jc w:val="center"/>
        <w:textAlignment w:val="center"/>
        <w:rPr>
          <w:rFonts w:ascii="Arial" w:hAnsi="Arial"/>
        </w:rPr>
      </w:pPr>
      <w:r>
        <w:rPr>
          <w:rFonts w:hint="eastAsia"/>
          <w:sz w:val="72"/>
          <w:szCs w:val="72"/>
        </w:rPr>
        <w:drawing>
          <wp:inline distT="0" distB="0" distL="0" distR="0">
            <wp:extent cx="900430" cy="890905"/>
            <wp:effectExtent l="0" t="0" r="13970" b="4445"/>
            <wp:docPr id="706495476" name="图片 1" descr="C:/Users/周述伦/AppData/Local/Temp/picturecompress_2023030812023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495476" name="图片 1" descr="C:/Users/周述伦/AppData/Local/Temp/picturecompress_20230308120236/output_1.jpgoutput_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00430" cy="890905"/>
                    </a:xfrm>
                    <a:prstGeom prst="rect">
                      <a:avLst/>
                    </a:prstGeom>
                    <a:noFill/>
                    <a:ln>
                      <a:noFill/>
                    </a:ln>
                  </pic:spPr>
                </pic:pic>
              </a:graphicData>
            </a:graphic>
          </wp:inline>
        </w:drawing>
      </w:r>
      <w:r>
        <w:rPr>
          <w:rFonts w:hint="eastAsia"/>
          <w:sz w:val="72"/>
          <w:szCs w:val="72"/>
        </w:rPr>
        <w:drawing>
          <wp:inline distT="0" distB="0" distL="0" distR="0">
            <wp:extent cx="2100580" cy="590550"/>
            <wp:effectExtent l="0" t="0" r="13970" b="0"/>
            <wp:docPr id="393769378" name="图片 2" descr="C:/Users/周述伦/AppData/Local/Temp/picturecompress_2023030812042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69378" name="图片 2" descr="C:/Users/周述伦/AppData/Local/Temp/picturecompress_20230308120426/output_1.jpgoutput_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100580" cy="590550"/>
                    </a:xfrm>
                    <a:prstGeom prst="rect">
                      <a:avLst/>
                    </a:prstGeom>
                    <a:noFill/>
                    <a:ln>
                      <a:noFill/>
                    </a:ln>
                  </pic:spPr>
                </pic:pic>
              </a:graphicData>
            </a:graphic>
          </wp:inline>
        </w:drawing>
      </w:r>
    </w:p>
    <w:p>
      <w:pPr>
        <w:autoSpaceDE/>
        <w:autoSpaceDN/>
        <w:sectPr>
          <w:pgSz w:w="11906" w:h="16839"/>
          <w:pgMar w:top="1397" w:right="1558" w:bottom="1742" w:left="1785" w:header="0" w:footer="1534" w:gutter="0"/>
          <w:cols w:space="720" w:num="1"/>
        </w:sectPr>
      </w:pPr>
    </w:p>
    <w:p>
      <w:r>
        <w:t xml:space="preserve"> </w:t>
      </w:r>
    </w:p>
    <w:p>
      <w:pPr>
        <w:spacing w:before="332"/>
        <w:jc w:val="center"/>
        <w:rPr>
          <w:sz w:val="32"/>
          <w:szCs w:val="32"/>
        </w:rPr>
      </w:pPr>
      <w:r>
        <w:rPr>
          <w:rFonts w:hint="eastAsia"/>
          <w:sz w:val="32"/>
          <w:szCs w:val="32"/>
        </w:rPr>
        <w:t>贵州财经大学高等教育自学考试实践考试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网络营销创新</w:t>
      </w:r>
      <w:bookmarkStart w:id="1" w:name="_GoBack"/>
      <w:bookmarkEnd w:id="1"/>
      <w:r>
        <w:rPr>
          <w:rFonts w:hint="eastAsia"/>
          <w:b/>
          <w:color w:val="auto"/>
          <w:spacing w:val="-8"/>
          <w:sz w:val="44"/>
          <w:szCs w:val="44"/>
          <w:u w:val="single"/>
          <w:lang w:eastAsia="zh-CN"/>
        </w:rPr>
        <w:t>管理</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贵州财经大学</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p>
      <w:pPr>
        <w:rPr>
          <w:color w:val="auto"/>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wNzk4OTM3YTI3M2RmMzBiN2IzNWQ3NjE5NjE4MDYifQ=="/>
  </w:docVars>
  <w:rsids>
    <w:rsidRoot w:val="FAF7D740"/>
    <w:rsid w:val="1F5E41C7"/>
    <w:rsid w:val="20390790"/>
    <w:rsid w:val="34AF0D7F"/>
    <w:rsid w:val="55742C70"/>
    <w:rsid w:val="5BDE1189"/>
    <w:rsid w:val="5CFC4409"/>
    <w:rsid w:val="5E8745CB"/>
    <w:rsid w:val="62D665B5"/>
    <w:rsid w:val="69E33E32"/>
    <w:rsid w:val="761B4486"/>
    <w:rsid w:val="FAF7D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autoRedefine/>
    <w:qFormat/>
    <w:uiPriority w:val="0"/>
    <w:pPr>
      <w:spacing w:before="120" w:beforeLines="0" w:beforeAutospacing="0"/>
    </w:pPr>
    <w:rPr>
      <w:rFonts w:ascii="Arial" w:hAnsi="Arial"/>
      <w:sz w:val="24"/>
    </w:rPr>
  </w:style>
  <w:style w:type="table" w:customStyle="1" w:styleId="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2024-01-13T22:33:00Z</dcterms:created>
  <dc:creator>周立影</dc:creator>
  <cp:lastModifiedBy>小逗</cp:lastModifiedBy>
  <dcterms:modified xsi:type="dcterms:W3CDTF">2024-05-08T06:19:04Z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1ABE205E9C2E487BAA3C9463E48B7749_13</vt:lpwstr>
  </property>
</Properties>
</file>