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150" w:afterAutospacing="0"/>
        <w:ind w:left="0" w:firstLine="0"/>
        <w:jc w:val="center"/>
        <w:rPr>
          <w:rFonts w:ascii="微软雅黑" w:hAnsi="微软雅黑" w:eastAsia="微软雅黑" w:cs="微软雅黑"/>
          <w:i w:val="0"/>
          <w:iCs w:val="0"/>
          <w:caps w:val="0"/>
          <w:color w:val="000000"/>
          <w:spacing w:val="0"/>
          <w:sz w:val="27"/>
          <w:szCs w:val="27"/>
        </w:rPr>
      </w:pPr>
      <w:r>
        <w:rPr>
          <w:rStyle w:val="5"/>
          <w:rFonts w:ascii="黑体" w:hAnsi="宋体" w:eastAsia="黑体" w:cs="黑体"/>
          <w:i w:val="0"/>
          <w:iCs w:val="0"/>
          <w:caps w:val="0"/>
          <w:color w:val="000000"/>
          <w:spacing w:val="0"/>
          <w:sz w:val="30"/>
          <w:szCs w:val="30"/>
          <w:shd w:val="clear" w:fill="FFFFFF"/>
        </w:rPr>
        <w:t>河北省高等教育自学考试课程考试大纲</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eastAsia" w:ascii="黑体" w:hAnsi="宋体" w:eastAsia="黑体" w:cs="黑体"/>
          <w:i w:val="0"/>
          <w:iCs w:val="0"/>
          <w:caps w:val="0"/>
          <w:color w:val="000000"/>
          <w:spacing w:val="0"/>
          <w:sz w:val="30"/>
          <w:szCs w:val="30"/>
          <w:shd w:val="clear" w:fill="FFFFFF"/>
        </w:rPr>
        <w:t>课程名称：建设工程合同(含FIDIC)条款   </w:t>
      </w:r>
      <w:r>
        <w:rPr>
          <w:rFonts w:hint="eastAsia" w:ascii="黑体" w:hAnsi="宋体" w:eastAsia="黑体" w:cs="黑体"/>
          <w:i w:val="0"/>
          <w:iCs w:val="0"/>
          <w:caps w:val="0"/>
          <w:color w:val="000000"/>
          <w:spacing w:val="0"/>
          <w:sz w:val="30"/>
          <w:szCs w:val="30"/>
          <w:shd w:val="clear" w:fill="FFFFFF"/>
        </w:rPr>
        <w:t>      </w:t>
      </w:r>
      <w:r>
        <w:rPr>
          <w:rStyle w:val="5"/>
          <w:rFonts w:hint="eastAsia" w:ascii="黑体" w:hAnsi="宋体" w:eastAsia="黑体" w:cs="黑体"/>
          <w:i w:val="0"/>
          <w:iCs w:val="0"/>
          <w:caps w:val="0"/>
          <w:color w:val="000000"/>
          <w:spacing w:val="0"/>
          <w:sz w:val="30"/>
          <w:szCs w:val="30"/>
          <w:shd w:val="clear" w:fill="FFFFFF"/>
        </w:rPr>
        <w:t>课程代码：04231</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ascii="仿宋_gb2312" w:hAnsi="仿宋_gb2312" w:eastAsia="仿宋_gb2312" w:cs="仿宋_gb2312"/>
          <w:i w:val="0"/>
          <w:iCs w:val="0"/>
          <w:caps w:val="0"/>
          <w:color w:val="000000"/>
          <w:spacing w:val="0"/>
          <w:sz w:val="27"/>
          <w:szCs w:val="27"/>
          <w:shd w:val="clear" w:fill="FFFFFF"/>
        </w:rPr>
        <w:t>第一部分  课程性质与学习目的</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一、课程性质与特点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本课程是高等教育自学考试工程造价管理专业所开设的专业基础课之一，是一门重要而且实用性很强的经济管理类课程。该门课系统地介绍了工程合同和工程招投标的相关知识，包括工程合同法律基础、工程合同的相关概念和原则、招投标和合同管理的程序、内容和注意事项等， 以及以Fidic条款为代表的国际惯例。</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二、课程设置的目的和要求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开设本课程的目的和任务，是为了培养学生对工程合同、招投标进行较全面系统的了解，掌握合同管理工作的具体操作过程，熟悉招投标工作的程序和目前我国招投标、合同管理工作中存在的一些问题，把学生培养成一个全面、系统的工程管理人才。同时要求学生了解和掌握以Fidic条款为代表的国际工程合同管理的惯例，为学生将来从事工程管理工作奠定良好的基础。</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通过本课程学习，要求考生了解与工程合同管理与招投标相关的法律基础，掌握工程合同管理的相关概念和基本知识，熟悉工程合同的鉴定、履行与管理的操作过程，掌握工程索赔的原则和程序，了解索赔的计算过程和方法，掌握招投标工作的基本程序以及各阶段应注意事项，掌握投标决策与报价策略和技巧，了解工程管理国际惯例，掌握Fidic《施工合同条件》的相关概念和原则。</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三、与本专业其它课程的关系</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工程项目管理》目的是使学生熟悉了解和掌握工程项目管理的基本知识。主要学习建筑工程项目管理的概念、指导思想、建筑工程项目管理组织、规划、项目控制、生产要素管理、监理和总体阶段的工作等内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建设工程工程量清单计价实务》目的是使学生学习和掌握建设工程工程量清单的编制、工程量清单计价、工程量清单及其计价格式、建设工程工程量清单项目及计算规则，并通过工程量清单计价编制实例掌握建设工程工程量清单的编制实务。</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本课程《建设工程合同(含FIDIC)条款》主要是为了使学生对工程合同、招投标较全面系统的了解，掌握合同管理工作的具体操作过程，熟悉招投标工作的程序和目前我国招投标、合同管理工作中存在的一些问题。本课程是在《工程项目管理》课程基础上对项目管理中合同管理与招投标管理的深化，同时又为进一步学习其他专业课如《建设工程工程量清单计价实务》奠定基础，起着承上启下的作用。</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第二部分  课程内容与考核要求</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第一章  绪论</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通过本章学习，要认识建设工程合同的概念和特征，了解建设工程合同的分类，认识建设工程合同管理的层次和建设项目合同体系。</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第一节  建设工程合同概述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1．建设工程合同的概念和特征。（重点）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2．建设工程合同的种类和基本内容。（次重点）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第二节 建设工程合同管理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1．建设工程合同管理的层次。（次重点）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2．建设工程合同管理的构成。（一般）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3．建设项目合同体系。（一般）</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第二章  工程合同法律基础</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通过本章学习，要求理解和掌握工程合同相关法律概念、法律制度和法律体系，了解相关法律在建设工程合同管理中的应用。</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第一节  法律体系</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1．法律体系的涵义。（次重点）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2．法律部门的概念。（一般）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3．法的一般分类。（重点）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4．我国法律的层次。（重点）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第二节  合同法律制度</w:t>
      </w:r>
    </w:p>
    <w:p>
      <w:pPr>
        <w:keepNext w:val="0"/>
        <w:keepLines w:val="0"/>
        <w:widowControl/>
        <w:numPr>
          <w:ilvl w:val="0"/>
          <w:numId w:val="1"/>
        </w:numPr>
        <w:suppressLineNumbers w:val="0"/>
        <w:spacing w:before="0" w:beforeAutospacing="1" w:after="0" w:afterAutospacing="1"/>
        <w:ind w:left="196" w:hanging="360"/>
      </w:pPr>
      <w:r>
        <w:rPr>
          <w:rFonts w:hint="default" w:ascii="仿宋_gb2312" w:hAnsi="仿宋_gb2312" w:eastAsia="仿宋_gb2312" w:cs="仿宋_gb2312"/>
          <w:i w:val="0"/>
          <w:iCs w:val="0"/>
          <w:caps w:val="0"/>
          <w:color w:val="000000"/>
          <w:spacing w:val="0"/>
          <w:sz w:val="27"/>
          <w:szCs w:val="27"/>
          <w:shd w:val="clear" w:fill="FFFFFF"/>
        </w:rPr>
        <w:t>我国合同法律制度的建立和发展。（一般）</w:t>
      </w:r>
    </w:p>
    <w:p>
      <w:pPr>
        <w:keepNext w:val="0"/>
        <w:keepLines w:val="0"/>
        <w:widowControl/>
        <w:numPr>
          <w:ilvl w:val="0"/>
          <w:numId w:val="1"/>
        </w:numPr>
        <w:suppressLineNumbers w:val="0"/>
        <w:spacing w:before="0" w:beforeAutospacing="1" w:after="0" w:afterAutospacing="1"/>
        <w:ind w:left="196" w:hanging="360"/>
      </w:pPr>
      <w:r>
        <w:rPr>
          <w:rFonts w:hint="default" w:ascii="仿宋_gb2312" w:hAnsi="仿宋_gb2312" w:eastAsia="仿宋_gb2312" w:cs="仿宋_gb2312"/>
          <w:i w:val="0"/>
          <w:iCs w:val="0"/>
          <w:caps w:val="0"/>
          <w:color w:val="000000"/>
          <w:spacing w:val="0"/>
          <w:sz w:val="27"/>
          <w:szCs w:val="27"/>
          <w:shd w:val="clear" w:fill="FFFFFF"/>
        </w:rPr>
        <w:t>合同与合同法的基本概念。（次重点）</w:t>
      </w:r>
    </w:p>
    <w:p>
      <w:pPr>
        <w:keepNext w:val="0"/>
        <w:keepLines w:val="0"/>
        <w:widowControl/>
        <w:numPr>
          <w:ilvl w:val="0"/>
          <w:numId w:val="1"/>
        </w:numPr>
        <w:suppressLineNumbers w:val="0"/>
        <w:spacing w:before="0" w:beforeAutospacing="1" w:after="0" w:afterAutospacing="1"/>
        <w:ind w:left="196" w:hanging="360"/>
      </w:pPr>
      <w:r>
        <w:rPr>
          <w:rFonts w:hint="default" w:ascii="仿宋_gb2312" w:hAnsi="仿宋_gb2312" w:eastAsia="仿宋_gb2312" w:cs="仿宋_gb2312"/>
          <w:i w:val="0"/>
          <w:iCs w:val="0"/>
          <w:caps w:val="0"/>
          <w:color w:val="000000"/>
          <w:spacing w:val="0"/>
          <w:sz w:val="27"/>
          <w:szCs w:val="27"/>
          <w:shd w:val="clear" w:fill="FFFFFF"/>
        </w:rPr>
        <w:t>合同法的基本原则。（次重点）</w:t>
      </w:r>
    </w:p>
    <w:p>
      <w:pPr>
        <w:keepNext w:val="0"/>
        <w:keepLines w:val="0"/>
        <w:widowControl/>
        <w:numPr>
          <w:ilvl w:val="0"/>
          <w:numId w:val="1"/>
        </w:numPr>
        <w:suppressLineNumbers w:val="0"/>
        <w:spacing w:before="0" w:beforeAutospacing="1" w:after="0" w:afterAutospacing="1"/>
        <w:ind w:left="196" w:hanging="360"/>
      </w:pPr>
      <w:r>
        <w:rPr>
          <w:rFonts w:hint="default" w:ascii="仿宋_gb2312" w:hAnsi="仿宋_gb2312" w:eastAsia="仿宋_gb2312" w:cs="仿宋_gb2312"/>
          <w:i w:val="0"/>
          <w:iCs w:val="0"/>
          <w:caps w:val="0"/>
          <w:color w:val="000000"/>
          <w:spacing w:val="0"/>
          <w:sz w:val="27"/>
          <w:szCs w:val="27"/>
          <w:shd w:val="clear" w:fill="FFFFFF"/>
        </w:rPr>
        <w:t>合同的分类。（重点）</w:t>
      </w:r>
    </w:p>
    <w:p>
      <w:pPr>
        <w:keepNext w:val="0"/>
        <w:keepLines w:val="0"/>
        <w:widowControl/>
        <w:numPr>
          <w:ilvl w:val="0"/>
          <w:numId w:val="1"/>
        </w:numPr>
        <w:suppressLineNumbers w:val="0"/>
        <w:spacing w:before="0" w:beforeAutospacing="1" w:after="0" w:afterAutospacing="1"/>
        <w:ind w:left="196" w:hanging="360"/>
      </w:pPr>
      <w:r>
        <w:rPr>
          <w:rFonts w:hint="default" w:ascii="仿宋_gb2312" w:hAnsi="仿宋_gb2312" w:eastAsia="仿宋_gb2312" w:cs="仿宋_gb2312"/>
          <w:i w:val="0"/>
          <w:iCs w:val="0"/>
          <w:caps w:val="0"/>
          <w:color w:val="000000"/>
          <w:spacing w:val="0"/>
          <w:sz w:val="27"/>
          <w:szCs w:val="27"/>
          <w:shd w:val="clear" w:fill="FFFFFF"/>
        </w:rPr>
        <w:t>合同的法律关系三要素。（重点）</w:t>
      </w:r>
    </w:p>
    <w:p>
      <w:pPr>
        <w:keepNext w:val="0"/>
        <w:keepLines w:val="0"/>
        <w:widowControl/>
        <w:numPr>
          <w:ilvl w:val="0"/>
          <w:numId w:val="1"/>
        </w:numPr>
        <w:suppressLineNumbers w:val="0"/>
        <w:spacing w:before="0" w:beforeAutospacing="1" w:after="0" w:afterAutospacing="1"/>
        <w:ind w:left="196" w:hanging="360"/>
      </w:pPr>
      <w:r>
        <w:rPr>
          <w:rFonts w:hint="default" w:ascii="仿宋_gb2312" w:hAnsi="仿宋_gb2312" w:eastAsia="仿宋_gb2312" w:cs="仿宋_gb2312"/>
          <w:i w:val="0"/>
          <w:iCs w:val="0"/>
          <w:caps w:val="0"/>
          <w:color w:val="000000"/>
          <w:spacing w:val="0"/>
          <w:sz w:val="27"/>
          <w:szCs w:val="27"/>
          <w:shd w:val="clear" w:fill="FFFFFF"/>
        </w:rPr>
        <w:t>合同的订立。（次重点）</w:t>
      </w:r>
    </w:p>
    <w:p>
      <w:pPr>
        <w:keepNext w:val="0"/>
        <w:keepLines w:val="0"/>
        <w:widowControl/>
        <w:numPr>
          <w:ilvl w:val="0"/>
          <w:numId w:val="1"/>
        </w:numPr>
        <w:suppressLineNumbers w:val="0"/>
        <w:spacing w:before="0" w:beforeAutospacing="1" w:after="0" w:afterAutospacing="1"/>
        <w:ind w:left="196" w:hanging="360"/>
      </w:pPr>
      <w:r>
        <w:rPr>
          <w:rFonts w:hint="default" w:ascii="仿宋_gb2312" w:hAnsi="仿宋_gb2312" w:eastAsia="仿宋_gb2312" w:cs="仿宋_gb2312"/>
          <w:i w:val="0"/>
          <w:iCs w:val="0"/>
          <w:caps w:val="0"/>
          <w:color w:val="000000"/>
          <w:spacing w:val="0"/>
          <w:sz w:val="27"/>
          <w:szCs w:val="27"/>
          <w:shd w:val="clear" w:fill="FFFFFF"/>
        </w:rPr>
        <w:t>合同的效力。（重点）</w:t>
      </w:r>
    </w:p>
    <w:p>
      <w:pPr>
        <w:keepNext w:val="0"/>
        <w:keepLines w:val="0"/>
        <w:widowControl/>
        <w:numPr>
          <w:ilvl w:val="0"/>
          <w:numId w:val="1"/>
        </w:numPr>
        <w:suppressLineNumbers w:val="0"/>
        <w:spacing w:before="0" w:beforeAutospacing="1" w:after="0" w:afterAutospacing="1"/>
        <w:ind w:left="196" w:hanging="360"/>
      </w:pPr>
      <w:r>
        <w:rPr>
          <w:rFonts w:hint="default" w:ascii="仿宋_gb2312" w:hAnsi="仿宋_gb2312" w:eastAsia="仿宋_gb2312" w:cs="仿宋_gb2312"/>
          <w:i w:val="0"/>
          <w:iCs w:val="0"/>
          <w:caps w:val="0"/>
          <w:color w:val="000000"/>
          <w:spacing w:val="0"/>
          <w:sz w:val="27"/>
          <w:szCs w:val="27"/>
          <w:shd w:val="clear" w:fill="FFFFFF"/>
        </w:rPr>
        <w:t>合同的履行。（次重点）</w:t>
      </w:r>
    </w:p>
    <w:p>
      <w:pPr>
        <w:keepNext w:val="0"/>
        <w:keepLines w:val="0"/>
        <w:widowControl/>
        <w:numPr>
          <w:ilvl w:val="0"/>
          <w:numId w:val="1"/>
        </w:numPr>
        <w:suppressLineNumbers w:val="0"/>
        <w:spacing w:before="0" w:beforeAutospacing="1" w:after="0" w:afterAutospacing="1"/>
        <w:ind w:left="196" w:hanging="360"/>
      </w:pPr>
      <w:r>
        <w:rPr>
          <w:rFonts w:hint="default" w:ascii="仿宋_gb2312" w:hAnsi="仿宋_gb2312" w:eastAsia="仿宋_gb2312" w:cs="仿宋_gb2312"/>
          <w:i w:val="0"/>
          <w:iCs w:val="0"/>
          <w:caps w:val="0"/>
          <w:color w:val="000000"/>
          <w:spacing w:val="0"/>
          <w:sz w:val="27"/>
          <w:szCs w:val="27"/>
          <w:shd w:val="clear" w:fill="FFFFFF"/>
        </w:rPr>
        <w:t>合同的变更和转让。（重点）</w:t>
      </w:r>
    </w:p>
    <w:p>
      <w:pPr>
        <w:keepNext w:val="0"/>
        <w:keepLines w:val="0"/>
        <w:widowControl/>
        <w:numPr>
          <w:ilvl w:val="0"/>
          <w:numId w:val="1"/>
        </w:numPr>
        <w:suppressLineNumbers w:val="0"/>
        <w:spacing w:before="0" w:beforeAutospacing="1" w:after="0" w:afterAutospacing="1"/>
        <w:ind w:left="196" w:hanging="360"/>
      </w:pPr>
      <w:r>
        <w:rPr>
          <w:rFonts w:hint="default" w:ascii="仿宋_gb2312" w:hAnsi="仿宋_gb2312" w:eastAsia="仿宋_gb2312" w:cs="仿宋_gb2312"/>
          <w:i w:val="0"/>
          <w:iCs w:val="0"/>
          <w:caps w:val="0"/>
          <w:color w:val="000000"/>
          <w:spacing w:val="0"/>
          <w:sz w:val="27"/>
          <w:szCs w:val="27"/>
          <w:shd w:val="clear" w:fill="FFFFFF"/>
        </w:rPr>
        <w:t>合同的权利义务终止。（次重点）</w:t>
      </w:r>
    </w:p>
    <w:p>
      <w:pPr>
        <w:keepNext w:val="0"/>
        <w:keepLines w:val="0"/>
        <w:widowControl/>
        <w:numPr>
          <w:ilvl w:val="0"/>
          <w:numId w:val="1"/>
        </w:numPr>
        <w:suppressLineNumbers w:val="0"/>
        <w:spacing w:before="0" w:beforeAutospacing="1" w:after="0" w:afterAutospacing="1"/>
        <w:ind w:left="196" w:hanging="360"/>
      </w:pPr>
      <w:r>
        <w:rPr>
          <w:rFonts w:hint="default" w:ascii="仿宋_gb2312" w:hAnsi="仿宋_gb2312" w:eastAsia="仿宋_gb2312" w:cs="仿宋_gb2312"/>
          <w:i w:val="0"/>
          <w:iCs w:val="0"/>
          <w:caps w:val="0"/>
          <w:color w:val="000000"/>
          <w:spacing w:val="0"/>
          <w:sz w:val="27"/>
          <w:szCs w:val="27"/>
          <w:shd w:val="clear" w:fill="FFFFFF"/>
        </w:rPr>
        <w:t>违约责任。（次重点）</w:t>
      </w:r>
    </w:p>
    <w:p>
      <w:pPr>
        <w:keepNext w:val="0"/>
        <w:keepLines w:val="0"/>
        <w:widowControl/>
        <w:numPr>
          <w:ilvl w:val="0"/>
          <w:numId w:val="1"/>
        </w:numPr>
        <w:suppressLineNumbers w:val="0"/>
        <w:spacing w:before="0" w:beforeAutospacing="1" w:after="0" w:afterAutospacing="1"/>
        <w:ind w:left="196" w:hanging="360"/>
      </w:pPr>
      <w:r>
        <w:rPr>
          <w:rFonts w:hint="default" w:ascii="仿宋_gb2312" w:hAnsi="仿宋_gb2312" w:eastAsia="仿宋_gb2312" w:cs="仿宋_gb2312"/>
          <w:i w:val="0"/>
          <w:iCs w:val="0"/>
          <w:caps w:val="0"/>
          <w:color w:val="000000"/>
          <w:spacing w:val="0"/>
          <w:sz w:val="27"/>
          <w:szCs w:val="27"/>
          <w:shd w:val="clear" w:fill="FFFFFF"/>
        </w:rPr>
        <w:t>合同争议解决方式。（重点）</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第三章  建设工程市场</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第一节   建筑市场体系</w:t>
      </w:r>
    </w:p>
    <w:p>
      <w:pPr>
        <w:keepNext w:val="0"/>
        <w:keepLines w:val="0"/>
        <w:widowControl/>
        <w:numPr>
          <w:ilvl w:val="0"/>
          <w:numId w:val="2"/>
        </w:numPr>
        <w:suppressLineNumbers w:val="0"/>
        <w:spacing w:before="0" w:beforeAutospacing="1" w:after="0" w:afterAutospacing="1"/>
        <w:ind w:left="196" w:hanging="360"/>
      </w:pPr>
      <w:r>
        <w:rPr>
          <w:rFonts w:hint="default" w:ascii="仿宋_gb2312" w:hAnsi="仿宋_gb2312" w:eastAsia="仿宋_gb2312" w:cs="仿宋_gb2312"/>
          <w:i w:val="0"/>
          <w:iCs w:val="0"/>
          <w:caps w:val="0"/>
          <w:color w:val="000000"/>
          <w:spacing w:val="0"/>
          <w:sz w:val="27"/>
          <w:szCs w:val="27"/>
          <w:shd w:val="clear" w:fill="FFFFFF"/>
        </w:rPr>
        <w:t>建筑市场的内涵与特点(一般)</w:t>
      </w:r>
    </w:p>
    <w:p>
      <w:pPr>
        <w:keepNext w:val="0"/>
        <w:keepLines w:val="0"/>
        <w:widowControl/>
        <w:numPr>
          <w:ilvl w:val="0"/>
          <w:numId w:val="2"/>
        </w:numPr>
        <w:suppressLineNumbers w:val="0"/>
        <w:spacing w:before="0" w:beforeAutospacing="1" w:after="0" w:afterAutospacing="1"/>
        <w:ind w:left="196" w:hanging="360"/>
      </w:pPr>
      <w:r>
        <w:rPr>
          <w:rFonts w:hint="default" w:ascii="仿宋_gb2312" w:hAnsi="仿宋_gb2312" w:eastAsia="仿宋_gb2312" w:cs="仿宋_gb2312"/>
          <w:i w:val="0"/>
          <w:iCs w:val="0"/>
          <w:caps w:val="0"/>
          <w:color w:val="000000"/>
          <w:spacing w:val="0"/>
          <w:sz w:val="27"/>
          <w:szCs w:val="27"/>
          <w:shd w:val="clear" w:fill="FFFFFF"/>
        </w:rPr>
        <w:t>建筑市场的主体（一般）</w:t>
      </w:r>
    </w:p>
    <w:p>
      <w:pPr>
        <w:keepNext w:val="0"/>
        <w:keepLines w:val="0"/>
        <w:widowControl/>
        <w:numPr>
          <w:ilvl w:val="0"/>
          <w:numId w:val="2"/>
        </w:numPr>
        <w:suppressLineNumbers w:val="0"/>
        <w:spacing w:before="0" w:beforeAutospacing="1" w:after="0" w:afterAutospacing="1"/>
        <w:ind w:left="196" w:hanging="360"/>
      </w:pPr>
      <w:r>
        <w:rPr>
          <w:rFonts w:hint="default" w:ascii="仿宋_gb2312" w:hAnsi="仿宋_gb2312" w:eastAsia="仿宋_gb2312" w:cs="仿宋_gb2312"/>
          <w:i w:val="0"/>
          <w:iCs w:val="0"/>
          <w:caps w:val="0"/>
          <w:color w:val="000000"/>
          <w:spacing w:val="0"/>
          <w:sz w:val="27"/>
          <w:szCs w:val="27"/>
          <w:shd w:val="clear" w:fill="FFFFFF"/>
        </w:rPr>
        <w:t>建筑市场的客体（一般）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第二节   有形建筑市场</w:t>
      </w:r>
    </w:p>
    <w:p>
      <w:pPr>
        <w:keepNext w:val="0"/>
        <w:keepLines w:val="0"/>
        <w:widowControl/>
        <w:numPr>
          <w:ilvl w:val="0"/>
          <w:numId w:val="3"/>
        </w:numPr>
        <w:suppressLineNumbers w:val="0"/>
        <w:spacing w:before="0" w:beforeAutospacing="1" w:after="0" w:afterAutospacing="1"/>
        <w:ind w:left="196" w:hanging="360"/>
      </w:pPr>
      <w:r>
        <w:rPr>
          <w:rFonts w:hint="default" w:ascii="仿宋_gb2312" w:hAnsi="仿宋_gb2312" w:eastAsia="仿宋_gb2312" w:cs="仿宋_gb2312"/>
          <w:i w:val="0"/>
          <w:iCs w:val="0"/>
          <w:caps w:val="0"/>
          <w:color w:val="000000"/>
          <w:spacing w:val="0"/>
          <w:sz w:val="27"/>
          <w:szCs w:val="27"/>
          <w:shd w:val="clear" w:fill="FFFFFF"/>
        </w:rPr>
        <w:t>有形市场的必要性（一般）</w:t>
      </w:r>
    </w:p>
    <w:p>
      <w:pPr>
        <w:keepNext w:val="0"/>
        <w:keepLines w:val="0"/>
        <w:widowControl/>
        <w:numPr>
          <w:ilvl w:val="0"/>
          <w:numId w:val="3"/>
        </w:numPr>
        <w:suppressLineNumbers w:val="0"/>
        <w:spacing w:before="0" w:beforeAutospacing="1" w:after="0" w:afterAutospacing="1"/>
        <w:ind w:left="196" w:hanging="360"/>
      </w:pPr>
      <w:r>
        <w:rPr>
          <w:rFonts w:hint="default" w:ascii="仿宋_gb2312" w:hAnsi="仿宋_gb2312" w:eastAsia="仿宋_gb2312" w:cs="仿宋_gb2312"/>
          <w:i w:val="0"/>
          <w:iCs w:val="0"/>
          <w:caps w:val="0"/>
          <w:color w:val="000000"/>
          <w:spacing w:val="0"/>
          <w:sz w:val="27"/>
          <w:szCs w:val="27"/>
          <w:shd w:val="clear" w:fill="FFFFFF"/>
        </w:rPr>
        <w:t>有形建筑市场的概念（次重点）</w:t>
      </w:r>
    </w:p>
    <w:p>
      <w:pPr>
        <w:keepNext w:val="0"/>
        <w:keepLines w:val="0"/>
        <w:widowControl/>
        <w:numPr>
          <w:ilvl w:val="0"/>
          <w:numId w:val="3"/>
        </w:numPr>
        <w:suppressLineNumbers w:val="0"/>
        <w:spacing w:before="0" w:beforeAutospacing="1" w:after="0" w:afterAutospacing="1"/>
        <w:ind w:left="196" w:hanging="360"/>
      </w:pPr>
      <w:r>
        <w:rPr>
          <w:rFonts w:hint="default" w:ascii="仿宋_gb2312" w:hAnsi="仿宋_gb2312" w:eastAsia="仿宋_gb2312" w:cs="仿宋_gb2312"/>
          <w:i w:val="0"/>
          <w:iCs w:val="0"/>
          <w:caps w:val="0"/>
          <w:color w:val="000000"/>
          <w:spacing w:val="0"/>
          <w:sz w:val="27"/>
          <w:szCs w:val="27"/>
          <w:shd w:val="clear" w:fill="FFFFFF"/>
        </w:rPr>
        <w:t>建设工程交易中心（次重点）</w:t>
      </w:r>
    </w:p>
    <w:p>
      <w:pPr>
        <w:pStyle w:val="2"/>
        <w:keepNext w:val="0"/>
        <w:keepLines w:val="0"/>
        <w:widowControl/>
        <w:suppressLineNumbers w:val="0"/>
        <w:shd w:val="clear" w:fill="FFFFFF"/>
        <w:spacing w:before="0" w:beforeAutospacing="0" w:after="150" w:afterAutospacing="0"/>
        <w:ind w:left="54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keepNext w:val="0"/>
        <w:keepLines w:val="0"/>
        <w:widowControl/>
        <w:numPr>
          <w:ilvl w:val="0"/>
          <w:numId w:val="4"/>
        </w:numPr>
        <w:suppressLineNumbers w:val="0"/>
        <w:spacing w:before="0" w:beforeAutospacing="1" w:after="0" w:afterAutospacing="1"/>
        <w:ind w:left="196" w:hanging="360"/>
      </w:pPr>
      <w:r>
        <w:rPr>
          <w:rStyle w:val="5"/>
          <w:rFonts w:hint="default" w:ascii="仿宋_gb2312" w:hAnsi="仿宋_gb2312" w:eastAsia="仿宋_gb2312" w:cs="仿宋_gb2312"/>
          <w:i w:val="0"/>
          <w:iCs w:val="0"/>
          <w:caps w:val="0"/>
          <w:color w:val="000000"/>
          <w:spacing w:val="0"/>
          <w:sz w:val="27"/>
          <w:szCs w:val="27"/>
          <w:shd w:val="clear" w:fill="FFFFFF"/>
        </w:rPr>
        <w:t>合同策划</w:t>
      </w:r>
    </w:p>
    <w:p>
      <w:pPr>
        <w:pStyle w:val="2"/>
        <w:keepNext w:val="0"/>
        <w:keepLines w:val="0"/>
        <w:widowControl/>
        <w:suppressLineNumbers w:val="0"/>
        <w:shd w:val="clear" w:fill="FFFFFF"/>
        <w:spacing w:before="0" w:beforeAutospacing="0" w:after="150" w:afterAutospacing="0"/>
        <w:ind w:left="960" w:firstLine="0"/>
        <w:jc w:val="center"/>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第一节合同策划概述</w:t>
      </w:r>
    </w:p>
    <w:p>
      <w:pPr>
        <w:keepNext w:val="0"/>
        <w:keepLines w:val="0"/>
        <w:widowControl/>
        <w:numPr>
          <w:ilvl w:val="0"/>
          <w:numId w:val="5"/>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合同策划的基本概念（重点）</w:t>
      </w:r>
    </w:p>
    <w:p>
      <w:pPr>
        <w:keepNext w:val="0"/>
        <w:keepLines w:val="0"/>
        <w:widowControl/>
        <w:numPr>
          <w:ilvl w:val="0"/>
          <w:numId w:val="5"/>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合同策划的依据（次重点）</w:t>
      </w:r>
    </w:p>
    <w:p>
      <w:pPr>
        <w:keepNext w:val="0"/>
        <w:keepLines w:val="0"/>
        <w:widowControl/>
        <w:numPr>
          <w:ilvl w:val="0"/>
          <w:numId w:val="5"/>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合同策划的过程（次重点）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第二节合同策划的基本理论</w:t>
      </w:r>
    </w:p>
    <w:p>
      <w:pPr>
        <w:keepNext w:val="0"/>
        <w:keepLines w:val="0"/>
        <w:widowControl/>
        <w:numPr>
          <w:ilvl w:val="0"/>
          <w:numId w:val="6"/>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基本的工程建设模式与合同结构（重点）</w:t>
      </w:r>
    </w:p>
    <w:p>
      <w:pPr>
        <w:keepNext w:val="0"/>
        <w:keepLines w:val="0"/>
        <w:widowControl/>
        <w:numPr>
          <w:ilvl w:val="0"/>
          <w:numId w:val="6"/>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计价合同类型及选择（重点）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第三节合同的总体策划</w:t>
      </w:r>
    </w:p>
    <w:p>
      <w:pPr>
        <w:keepNext w:val="0"/>
        <w:keepLines w:val="0"/>
        <w:widowControl/>
        <w:numPr>
          <w:ilvl w:val="0"/>
          <w:numId w:val="7"/>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业主方的总体策划（次重点）</w:t>
      </w:r>
    </w:p>
    <w:p>
      <w:pPr>
        <w:keepNext w:val="0"/>
        <w:keepLines w:val="0"/>
        <w:widowControl/>
        <w:numPr>
          <w:ilvl w:val="0"/>
          <w:numId w:val="7"/>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承包商的总体策划（重点）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keepNext w:val="0"/>
        <w:keepLines w:val="0"/>
        <w:widowControl/>
        <w:numPr>
          <w:ilvl w:val="0"/>
          <w:numId w:val="8"/>
        </w:numPr>
        <w:suppressLineNumbers w:val="0"/>
        <w:spacing w:before="0" w:beforeAutospacing="1" w:after="0" w:afterAutospacing="1"/>
        <w:ind w:left="720" w:hanging="360"/>
      </w:pPr>
      <w:r>
        <w:rPr>
          <w:rStyle w:val="5"/>
          <w:rFonts w:hint="default" w:ascii="仿宋_gb2312" w:hAnsi="仿宋_gb2312" w:eastAsia="仿宋_gb2312" w:cs="仿宋_gb2312"/>
          <w:i w:val="0"/>
          <w:iCs w:val="0"/>
          <w:caps w:val="0"/>
          <w:color w:val="000000"/>
          <w:spacing w:val="0"/>
          <w:sz w:val="27"/>
          <w:szCs w:val="27"/>
          <w:shd w:val="clear" w:fill="FFFFFF"/>
        </w:rPr>
        <w:t>工程招标投标</w:t>
      </w:r>
    </w:p>
    <w:p>
      <w:pPr>
        <w:pStyle w:val="2"/>
        <w:keepNext w:val="0"/>
        <w:keepLines w:val="0"/>
        <w:widowControl/>
        <w:suppressLineNumbers w:val="0"/>
        <w:shd w:val="clear" w:fill="FFFFFF"/>
        <w:spacing w:before="0" w:beforeAutospacing="0" w:after="150" w:afterAutospacing="0"/>
        <w:ind w:left="960" w:firstLine="0"/>
        <w:jc w:val="center"/>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第一节工程招投标概述</w:t>
      </w:r>
    </w:p>
    <w:p>
      <w:pPr>
        <w:keepNext w:val="0"/>
        <w:keepLines w:val="0"/>
        <w:widowControl/>
        <w:numPr>
          <w:ilvl w:val="0"/>
          <w:numId w:val="9"/>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工程招投标的概念（次重点）</w:t>
      </w:r>
    </w:p>
    <w:p>
      <w:pPr>
        <w:keepNext w:val="0"/>
        <w:keepLines w:val="0"/>
        <w:widowControl/>
        <w:numPr>
          <w:ilvl w:val="0"/>
          <w:numId w:val="9"/>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工程招投标的特点（一般）</w:t>
      </w:r>
    </w:p>
    <w:p>
      <w:pPr>
        <w:keepNext w:val="0"/>
        <w:keepLines w:val="0"/>
        <w:widowControl/>
        <w:numPr>
          <w:ilvl w:val="0"/>
          <w:numId w:val="9"/>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工程招投标的原则（一般）</w:t>
      </w:r>
    </w:p>
    <w:p>
      <w:pPr>
        <w:keepNext w:val="0"/>
        <w:keepLines w:val="0"/>
        <w:widowControl/>
        <w:numPr>
          <w:ilvl w:val="0"/>
          <w:numId w:val="9"/>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工程招投标的分类（一般）</w:t>
      </w:r>
    </w:p>
    <w:p>
      <w:pPr>
        <w:keepNext w:val="0"/>
        <w:keepLines w:val="0"/>
        <w:widowControl/>
        <w:numPr>
          <w:ilvl w:val="0"/>
          <w:numId w:val="9"/>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工程招投标的方式（重点）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第二节招投标程序</w:t>
      </w:r>
    </w:p>
    <w:p>
      <w:pPr>
        <w:keepNext w:val="0"/>
        <w:keepLines w:val="0"/>
        <w:widowControl/>
        <w:numPr>
          <w:ilvl w:val="0"/>
          <w:numId w:val="10"/>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强制招标项目的确定（一般）</w:t>
      </w:r>
    </w:p>
    <w:p>
      <w:pPr>
        <w:keepNext w:val="0"/>
        <w:keepLines w:val="0"/>
        <w:widowControl/>
        <w:numPr>
          <w:ilvl w:val="0"/>
          <w:numId w:val="10"/>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招标方式的选择（重点）</w:t>
      </w:r>
    </w:p>
    <w:p>
      <w:pPr>
        <w:keepNext w:val="0"/>
        <w:keepLines w:val="0"/>
        <w:widowControl/>
        <w:numPr>
          <w:ilvl w:val="0"/>
          <w:numId w:val="10"/>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工程建设项目招标机构（次重点）</w:t>
      </w:r>
    </w:p>
    <w:p>
      <w:pPr>
        <w:keepNext w:val="0"/>
        <w:keepLines w:val="0"/>
        <w:widowControl/>
        <w:numPr>
          <w:ilvl w:val="0"/>
          <w:numId w:val="10"/>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招标项目应具备的条件（次重点）</w:t>
      </w:r>
    </w:p>
    <w:p>
      <w:pPr>
        <w:keepNext w:val="0"/>
        <w:keepLines w:val="0"/>
        <w:widowControl/>
        <w:numPr>
          <w:ilvl w:val="0"/>
          <w:numId w:val="10"/>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招标文件的编制（重点）</w:t>
      </w:r>
    </w:p>
    <w:p>
      <w:pPr>
        <w:keepNext w:val="0"/>
        <w:keepLines w:val="0"/>
        <w:widowControl/>
        <w:numPr>
          <w:ilvl w:val="0"/>
          <w:numId w:val="10"/>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招标公告发布（一般）</w:t>
      </w:r>
    </w:p>
    <w:p>
      <w:pPr>
        <w:keepNext w:val="0"/>
        <w:keepLines w:val="0"/>
        <w:widowControl/>
        <w:numPr>
          <w:ilvl w:val="0"/>
          <w:numId w:val="10"/>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出售招标文件（一般）</w:t>
      </w:r>
    </w:p>
    <w:p>
      <w:pPr>
        <w:keepNext w:val="0"/>
        <w:keepLines w:val="0"/>
        <w:widowControl/>
        <w:numPr>
          <w:ilvl w:val="0"/>
          <w:numId w:val="10"/>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现场踏勘和标前会议（次重点）</w:t>
      </w:r>
    </w:p>
    <w:p>
      <w:pPr>
        <w:keepNext w:val="0"/>
        <w:keepLines w:val="0"/>
        <w:widowControl/>
        <w:numPr>
          <w:ilvl w:val="0"/>
          <w:numId w:val="10"/>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投标（重点）</w:t>
      </w:r>
    </w:p>
    <w:p>
      <w:pPr>
        <w:keepNext w:val="0"/>
        <w:keepLines w:val="0"/>
        <w:widowControl/>
        <w:numPr>
          <w:ilvl w:val="0"/>
          <w:numId w:val="10"/>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开标（次重点）</w:t>
      </w:r>
    </w:p>
    <w:p>
      <w:pPr>
        <w:keepNext w:val="0"/>
        <w:keepLines w:val="0"/>
        <w:widowControl/>
        <w:numPr>
          <w:ilvl w:val="0"/>
          <w:numId w:val="10"/>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评标（重点）</w:t>
      </w:r>
    </w:p>
    <w:p>
      <w:pPr>
        <w:keepNext w:val="0"/>
        <w:keepLines w:val="0"/>
        <w:widowControl/>
        <w:numPr>
          <w:ilvl w:val="0"/>
          <w:numId w:val="10"/>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定标（次重点）</w:t>
      </w:r>
    </w:p>
    <w:p>
      <w:pPr>
        <w:keepNext w:val="0"/>
        <w:keepLines w:val="0"/>
        <w:widowControl/>
        <w:numPr>
          <w:ilvl w:val="0"/>
          <w:numId w:val="10"/>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中标通知与签订合同（一般）</w:t>
      </w:r>
    </w:p>
    <w:p>
      <w:pPr>
        <w:keepNext w:val="0"/>
        <w:keepLines w:val="0"/>
        <w:widowControl/>
        <w:numPr>
          <w:ilvl w:val="0"/>
          <w:numId w:val="10"/>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招标投标工作流程（重点）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第三节常用评标办法介绍</w:t>
      </w:r>
    </w:p>
    <w:p>
      <w:pPr>
        <w:keepNext w:val="0"/>
        <w:keepLines w:val="0"/>
        <w:widowControl/>
        <w:numPr>
          <w:ilvl w:val="0"/>
          <w:numId w:val="11"/>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定性综合评标法（一般）</w:t>
      </w:r>
    </w:p>
    <w:p>
      <w:pPr>
        <w:keepNext w:val="0"/>
        <w:keepLines w:val="0"/>
        <w:widowControl/>
        <w:numPr>
          <w:ilvl w:val="0"/>
          <w:numId w:val="11"/>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定量综合评标法（次重点）</w:t>
      </w:r>
    </w:p>
    <w:p>
      <w:pPr>
        <w:keepNext w:val="0"/>
        <w:keepLines w:val="0"/>
        <w:widowControl/>
        <w:numPr>
          <w:ilvl w:val="0"/>
          <w:numId w:val="11"/>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评标价法（一般）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第六章工程施工投标</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第一节施工投标主要环节</w:t>
      </w:r>
    </w:p>
    <w:p>
      <w:pPr>
        <w:keepNext w:val="0"/>
        <w:keepLines w:val="0"/>
        <w:widowControl/>
        <w:numPr>
          <w:ilvl w:val="0"/>
          <w:numId w:val="12"/>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投标组织（一般）</w:t>
      </w:r>
    </w:p>
    <w:p>
      <w:pPr>
        <w:keepNext w:val="0"/>
        <w:keepLines w:val="0"/>
        <w:widowControl/>
        <w:numPr>
          <w:ilvl w:val="0"/>
          <w:numId w:val="12"/>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编制投标文件前的投标决策（次重点）</w:t>
      </w:r>
    </w:p>
    <w:p>
      <w:pPr>
        <w:keepNext w:val="0"/>
        <w:keepLines w:val="0"/>
        <w:widowControl/>
        <w:numPr>
          <w:ilvl w:val="0"/>
          <w:numId w:val="12"/>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资格预审（一般）</w:t>
      </w:r>
    </w:p>
    <w:p>
      <w:pPr>
        <w:keepNext w:val="0"/>
        <w:keepLines w:val="0"/>
        <w:widowControl/>
        <w:numPr>
          <w:ilvl w:val="0"/>
          <w:numId w:val="12"/>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精读、分析招标文件（重点）</w:t>
      </w:r>
    </w:p>
    <w:p>
      <w:pPr>
        <w:keepNext w:val="0"/>
        <w:keepLines w:val="0"/>
        <w:widowControl/>
        <w:numPr>
          <w:ilvl w:val="0"/>
          <w:numId w:val="12"/>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现场考察（次重点）</w:t>
      </w:r>
    </w:p>
    <w:p>
      <w:pPr>
        <w:keepNext w:val="0"/>
        <w:keepLines w:val="0"/>
        <w:widowControl/>
        <w:numPr>
          <w:ilvl w:val="0"/>
          <w:numId w:val="12"/>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核实工程量（重点）</w:t>
      </w:r>
    </w:p>
    <w:p>
      <w:pPr>
        <w:keepNext w:val="0"/>
        <w:keepLines w:val="0"/>
        <w:widowControl/>
        <w:numPr>
          <w:ilvl w:val="0"/>
          <w:numId w:val="12"/>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投标质疑（次重点）</w:t>
      </w:r>
    </w:p>
    <w:p>
      <w:pPr>
        <w:keepNext w:val="0"/>
        <w:keepLines w:val="0"/>
        <w:widowControl/>
        <w:numPr>
          <w:ilvl w:val="0"/>
          <w:numId w:val="12"/>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编制投标施工组织设计（一般）</w:t>
      </w:r>
    </w:p>
    <w:p>
      <w:pPr>
        <w:keepNext w:val="0"/>
        <w:keepLines w:val="0"/>
        <w:widowControl/>
        <w:numPr>
          <w:ilvl w:val="0"/>
          <w:numId w:val="12"/>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工程标价计算与确定（次重点）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10. 投标文件的内容（重点）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11. 报送投标文件（次重点）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第二节投标竞争战略与策略</w:t>
      </w:r>
    </w:p>
    <w:p>
      <w:pPr>
        <w:keepNext w:val="0"/>
        <w:keepLines w:val="0"/>
        <w:widowControl/>
        <w:numPr>
          <w:ilvl w:val="0"/>
          <w:numId w:val="13"/>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制定投标竞争战略的意义（一般）</w:t>
      </w:r>
    </w:p>
    <w:p>
      <w:pPr>
        <w:keepNext w:val="0"/>
        <w:keepLines w:val="0"/>
        <w:widowControl/>
        <w:numPr>
          <w:ilvl w:val="0"/>
          <w:numId w:val="13"/>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制定切实可行的投标竞争战略（次重点）</w:t>
      </w:r>
    </w:p>
    <w:p>
      <w:pPr>
        <w:keepNext w:val="0"/>
        <w:keepLines w:val="0"/>
        <w:widowControl/>
        <w:numPr>
          <w:ilvl w:val="0"/>
          <w:numId w:val="13"/>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投标竞争策略（次重点）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第三节投标报价</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  投标报价与概预算的区别（次重点）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  投标报价的依据（重点）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  报价基础性工作（次重点）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  投标报价的主要阶段划分（次重点）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5.  报价策略与技巧（重点）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6.  报价方案的评价—收益现值法（一般）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第七章建设工程合同的审查、谈判与签订</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第一节合同的审查</w:t>
      </w:r>
    </w:p>
    <w:p>
      <w:pPr>
        <w:keepNext w:val="0"/>
        <w:keepLines w:val="0"/>
        <w:widowControl/>
        <w:numPr>
          <w:ilvl w:val="0"/>
          <w:numId w:val="14"/>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合同审查的内涵和目的（一般）</w:t>
      </w:r>
    </w:p>
    <w:p>
      <w:pPr>
        <w:keepNext w:val="0"/>
        <w:keepLines w:val="0"/>
        <w:widowControl/>
        <w:numPr>
          <w:ilvl w:val="0"/>
          <w:numId w:val="14"/>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合同审查的内容（次重点）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第二节合同的谈判和签订</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  施工合同谈判的原因（一般）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  合同谈判的内容（次重点）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  合同谈判的原则（次重点）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  合同谈判的准备工作（重点）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5.  谈判程序（次重点）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6.  谈判的策略和技巧（次重点）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7．建设工程合同的签订（重点）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第八章建设工程合同的履行管理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第一节合同履行管理概述</w:t>
      </w:r>
    </w:p>
    <w:p>
      <w:pPr>
        <w:keepNext w:val="0"/>
        <w:keepLines w:val="0"/>
        <w:widowControl/>
        <w:numPr>
          <w:ilvl w:val="0"/>
          <w:numId w:val="15"/>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建设工程合同履行的含义（一般）</w:t>
      </w:r>
    </w:p>
    <w:p>
      <w:pPr>
        <w:keepNext w:val="0"/>
        <w:keepLines w:val="0"/>
        <w:widowControl/>
        <w:numPr>
          <w:ilvl w:val="0"/>
          <w:numId w:val="15"/>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建设工程合同履行的基本原则（次重点）</w:t>
      </w:r>
    </w:p>
    <w:p>
      <w:pPr>
        <w:keepNext w:val="0"/>
        <w:keepLines w:val="0"/>
        <w:widowControl/>
        <w:numPr>
          <w:ilvl w:val="0"/>
          <w:numId w:val="15"/>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建设工程合同履行管理的基本内容（次重点）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第二节合同交底</w:t>
      </w:r>
    </w:p>
    <w:p>
      <w:pPr>
        <w:keepNext w:val="0"/>
        <w:keepLines w:val="0"/>
        <w:widowControl/>
        <w:numPr>
          <w:ilvl w:val="0"/>
          <w:numId w:val="16"/>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合同交底的内涵（次重点）</w:t>
      </w:r>
    </w:p>
    <w:p>
      <w:pPr>
        <w:keepNext w:val="0"/>
        <w:keepLines w:val="0"/>
        <w:widowControl/>
        <w:numPr>
          <w:ilvl w:val="0"/>
          <w:numId w:val="16"/>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合同交底的必要性（次重点）</w:t>
      </w:r>
    </w:p>
    <w:p>
      <w:pPr>
        <w:keepNext w:val="0"/>
        <w:keepLines w:val="0"/>
        <w:widowControl/>
        <w:numPr>
          <w:ilvl w:val="0"/>
          <w:numId w:val="16"/>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合同交底的程序（次重点）</w:t>
      </w:r>
    </w:p>
    <w:p>
      <w:pPr>
        <w:keepNext w:val="0"/>
        <w:keepLines w:val="0"/>
        <w:widowControl/>
        <w:numPr>
          <w:ilvl w:val="0"/>
          <w:numId w:val="16"/>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合同交底的内容（次重点）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第三节合同分析</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  合同分析的概念（次重点）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  合同分析的作用（次重点）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  合同分析的要求（一般）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  合同分析的内容（次重点）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5.  合同工作分析（次重点）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6．合同缺陷的补充（重点）</w:t>
      </w:r>
    </w:p>
    <w:p>
      <w:pPr>
        <w:pStyle w:val="2"/>
        <w:keepNext w:val="0"/>
        <w:keepLines w:val="0"/>
        <w:widowControl/>
        <w:suppressLineNumbers w:val="0"/>
        <w:shd w:val="clear" w:fill="FFFFFF"/>
        <w:spacing w:before="0" w:beforeAutospacing="0" w:after="150" w:afterAutospacing="0"/>
        <w:ind w:left="42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第四节合同履行控制</w:t>
      </w:r>
    </w:p>
    <w:p>
      <w:pPr>
        <w:keepNext w:val="0"/>
        <w:keepLines w:val="0"/>
        <w:widowControl/>
        <w:numPr>
          <w:ilvl w:val="0"/>
          <w:numId w:val="17"/>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合同控制的概念（次重点）</w:t>
      </w:r>
    </w:p>
    <w:p>
      <w:pPr>
        <w:keepNext w:val="0"/>
        <w:keepLines w:val="0"/>
        <w:widowControl/>
        <w:numPr>
          <w:ilvl w:val="0"/>
          <w:numId w:val="17"/>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合同控制与其他项目控制的关系（重点）</w:t>
      </w:r>
    </w:p>
    <w:p>
      <w:pPr>
        <w:keepNext w:val="0"/>
        <w:keepLines w:val="0"/>
        <w:widowControl/>
        <w:numPr>
          <w:ilvl w:val="0"/>
          <w:numId w:val="17"/>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合同控制的方法（重点）</w:t>
      </w:r>
    </w:p>
    <w:p>
      <w:pPr>
        <w:keepNext w:val="0"/>
        <w:keepLines w:val="0"/>
        <w:widowControl/>
        <w:numPr>
          <w:ilvl w:val="0"/>
          <w:numId w:val="17"/>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合同控制的日常工作（次重点）</w:t>
      </w:r>
    </w:p>
    <w:p>
      <w:pPr>
        <w:keepNext w:val="0"/>
        <w:keepLines w:val="0"/>
        <w:widowControl/>
        <w:numPr>
          <w:ilvl w:val="0"/>
          <w:numId w:val="17"/>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合同跟踪（次重点）</w:t>
      </w:r>
    </w:p>
    <w:p>
      <w:pPr>
        <w:keepNext w:val="0"/>
        <w:keepLines w:val="0"/>
        <w:widowControl/>
        <w:numPr>
          <w:ilvl w:val="0"/>
          <w:numId w:val="17"/>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合同实施情况偏差分析（重点）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第五节合同变更</w:t>
      </w:r>
    </w:p>
    <w:p>
      <w:pPr>
        <w:keepNext w:val="0"/>
        <w:keepLines w:val="0"/>
        <w:widowControl/>
        <w:numPr>
          <w:ilvl w:val="0"/>
          <w:numId w:val="18"/>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工程变更的概念及性质（次重点）</w:t>
      </w:r>
    </w:p>
    <w:p>
      <w:pPr>
        <w:keepNext w:val="0"/>
        <w:keepLines w:val="0"/>
        <w:widowControl/>
        <w:numPr>
          <w:ilvl w:val="0"/>
          <w:numId w:val="18"/>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工程变更的影响（次重点）</w:t>
      </w:r>
    </w:p>
    <w:p>
      <w:pPr>
        <w:keepNext w:val="0"/>
        <w:keepLines w:val="0"/>
        <w:widowControl/>
        <w:numPr>
          <w:ilvl w:val="0"/>
          <w:numId w:val="18"/>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工程变更的程序（重点）</w:t>
      </w:r>
    </w:p>
    <w:p>
      <w:pPr>
        <w:keepNext w:val="0"/>
        <w:keepLines w:val="0"/>
        <w:widowControl/>
        <w:numPr>
          <w:ilvl w:val="0"/>
          <w:numId w:val="18"/>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工程变更的起因（次重点）</w:t>
      </w:r>
    </w:p>
    <w:p>
      <w:pPr>
        <w:keepNext w:val="0"/>
        <w:keepLines w:val="0"/>
        <w:widowControl/>
        <w:numPr>
          <w:ilvl w:val="0"/>
          <w:numId w:val="18"/>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工程变更与合同变更（一般）</w:t>
      </w:r>
    </w:p>
    <w:p>
      <w:pPr>
        <w:keepNext w:val="0"/>
        <w:keepLines w:val="0"/>
        <w:widowControl/>
        <w:numPr>
          <w:ilvl w:val="0"/>
          <w:numId w:val="18"/>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工程变更的管理（次重点）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第六节工程施工合同风险管理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  风险的概念（重点）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  工程项目施工风险因素分析（重点）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  承包商风险辨析与管理（重点）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  承包人风险的防范与管理（重点）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第九章索赔管理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第一节索赔概述</w:t>
      </w:r>
    </w:p>
    <w:p>
      <w:pPr>
        <w:keepNext w:val="0"/>
        <w:keepLines w:val="0"/>
        <w:widowControl/>
        <w:numPr>
          <w:ilvl w:val="0"/>
          <w:numId w:val="19"/>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索赔的含义与重要性（次重点）</w:t>
      </w:r>
    </w:p>
    <w:p>
      <w:pPr>
        <w:keepNext w:val="0"/>
        <w:keepLines w:val="0"/>
        <w:widowControl/>
        <w:numPr>
          <w:ilvl w:val="0"/>
          <w:numId w:val="19"/>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索赔与变更的联系与区别（次重点）</w:t>
      </w:r>
    </w:p>
    <w:p>
      <w:pPr>
        <w:keepNext w:val="0"/>
        <w:keepLines w:val="0"/>
        <w:widowControl/>
        <w:numPr>
          <w:ilvl w:val="0"/>
          <w:numId w:val="19"/>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工程索赔的分类（次重点）</w:t>
      </w:r>
    </w:p>
    <w:p>
      <w:pPr>
        <w:keepNext w:val="0"/>
        <w:keepLines w:val="0"/>
        <w:widowControl/>
        <w:numPr>
          <w:ilvl w:val="0"/>
          <w:numId w:val="19"/>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工程索赔的起因（重点）</w:t>
      </w:r>
    </w:p>
    <w:p>
      <w:pPr>
        <w:keepNext w:val="0"/>
        <w:keepLines w:val="0"/>
        <w:widowControl/>
        <w:numPr>
          <w:ilvl w:val="0"/>
          <w:numId w:val="19"/>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索赔机会（重点）</w:t>
      </w:r>
    </w:p>
    <w:p>
      <w:pPr>
        <w:keepNext w:val="0"/>
        <w:keepLines w:val="0"/>
        <w:widowControl/>
        <w:numPr>
          <w:ilvl w:val="0"/>
          <w:numId w:val="19"/>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索赔成立的条件（次重点）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第二节索赔的处理</w:t>
      </w:r>
    </w:p>
    <w:p>
      <w:pPr>
        <w:keepNext w:val="0"/>
        <w:keepLines w:val="0"/>
        <w:widowControl/>
        <w:numPr>
          <w:ilvl w:val="0"/>
          <w:numId w:val="20"/>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索赔的依据（次重点）</w:t>
      </w:r>
    </w:p>
    <w:p>
      <w:pPr>
        <w:keepNext w:val="0"/>
        <w:keepLines w:val="0"/>
        <w:widowControl/>
        <w:numPr>
          <w:ilvl w:val="0"/>
          <w:numId w:val="20"/>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索赔的证据（次重点）</w:t>
      </w:r>
    </w:p>
    <w:p>
      <w:pPr>
        <w:keepNext w:val="0"/>
        <w:keepLines w:val="0"/>
        <w:widowControl/>
        <w:numPr>
          <w:ilvl w:val="0"/>
          <w:numId w:val="20"/>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工程索赔的程序（重点）</w:t>
      </w:r>
    </w:p>
    <w:p>
      <w:pPr>
        <w:keepNext w:val="0"/>
        <w:keepLines w:val="0"/>
        <w:widowControl/>
        <w:numPr>
          <w:ilvl w:val="0"/>
          <w:numId w:val="20"/>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索赔成功的关键（一般）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第三节索赔值的计算</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  索赔值计算的基本分析方法（次重点）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  工期索赔的计算（次重点）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  费用索赔计算的基本原则和方法（次重点）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第十章合同归档管理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第一节合同归档管理概述</w:t>
      </w:r>
    </w:p>
    <w:p>
      <w:pPr>
        <w:keepNext w:val="0"/>
        <w:keepLines w:val="0"/>
        <w:widowControl/>
        <w:numPr>
          <w:ilvl w:val="0"/>
          <w:numId w:val="21"/>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合同归档管理的含义（一般）</w:t>
      </w:r>
    </w:p>
    <w:p>
      <w:pPr>
        <w:keepNext w:val="0"/>
        <w:keepLines w:val="0"/>
        <w:widowControl/>
        <w:numPr>
          <w:ilvl w:val="0"/>
          <w:numId w:val="21"/>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合同归档管理的意义（一般）</w:t>
      </w:r>
    </w:p>
    <w:p>
      <w:pPr>
        <w:keepNext w:val="0"/>
        <w:keepLines w:val="0"/>
        <w:widowControl/>
        <w:numPr>
          <w:ilvl w:val="0"/>
          <w:numId w:val="21"/>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合同归档管理的理论基础（次重点）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第二节合同归档管理的内容</w:t>
      </w:r>
    </w:p>
    <w:p>
      <w:pPr>
        <w:keepNext w:val="0"/>
        <w:keepLines w:val="0"/>
        <w:widowControl/>
        <w:numPr>
          <w:ilvl w:val="0"/>
          <w:numId w:val="22"/>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合同文件资料的收集、整理（次重点）</w:t>
      </w:r>
    </w:p>
    <w:p>
      <w:pPr>
        <w:keepNext w:val="0"/>
        <w:keepLines w:val="0"/>
        <w:widowControl/>
        <w:numPr>
          <w:ilvl w:val="0"/>
          <w:numId w:val="22"/>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合同文件资料的分析（次重点）</w:t>
      </w:r>
    </w:p>
    <w:p>
      <w:pPr>
        <w:keepNext w:val="0"/>
        <w:keepLines w:val="0"/>
        <w:widowControl/>
        <w:numPr>
          <w:ilvl w:val="0"/>
          <w:numId w:val="22"/>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合同执行过程的总结和宣贯（一般）</w:t>
      </w:r>
    </w:p>
    <w:p>
      <w:pPr>
        <w:keepNext w:val="0"/>
        <w:keepLines w:val="0"/>
        <w:widowControl/>
        <w:numPr>
          <w:ilvl w:val="0"/>
          <w:numId w:val="22"/>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合同归档（一般）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第三节合同归档整理规范</w:t>
      </w:r>
    </w:p>
    <w:p>
      <w:pPr>
        <w:keepNext w:val="0"/>
        <w:keepLines w:val="0"/>
        <w:widowControl/>
        <w:numPr>
          <w:ilvl w:val="0"/>
          <w:numId w:val="23"/>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术语（次重点）</w:t>
      </w:r>
    </w:p>
    <w:p>
      <w:pPr>
        <w:keepNext w:val="0"/>
        <w:keepLines w:val="0"/>
        <w:widowControl/>
        <w:numPr>
          <w:ilvl w:val="0"/>
          <w:numId w:val="23"/>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各方工作职责（次重点）</w:t>
      </w:r>
    </w:p>
    <w:p>
      <w:pPr>
        <w:keepNext w:val="0"/>
        <w:keepLines w:val="0"/>
        <w:widowControl/>
        <w:numPr>
          <w:ilvl w:val="0"/>
          <w:numId w:val="23"/>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工程文件的归档范围及质量要求（重点）</w:t>
      </w:r>
    </w:p>
    <w:p>
      <w:pPr>
        <w:keepNext w:val="0"/>
        <w:keepLines w:val="0"/>
        <w:widowControl/>
        <w:numPr>
          <w:ilvl w:val="0"/>
          <w:numId w:val="23"/>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工程文件的立卷（次重点）</w:t>
      </w:r>
    </w:p>
    <w:p>
      <w:pPr>
        <w:keepNext w:val="0"/>
        <w:keepLines w:val="0"/>
        <w:widowControl/>
        <w:numPr>
          <w:ilvl w:val="0"/>
          <w:numId w:val="23"/>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工程文件的归档（一般）</w:t>
      </w:r>
    </w:p>
    <w:p>
      <w:pPr>
        <w:keepNext w:val="0"/>
        <w:keepLines w:val="0"/>
        <w:widowControl/>
        <w:numPr>
          <w:ilvl w:val="0"/>
          <w:numId w:val="23"/>
        </w:numPr>
        <w:suppressLineNumbers w:val="0"/>
        <w:spacing w:before="0" w:beforeAutospacing="1" w:after="0" w:afterAutospacing="1"/>
        <w:ind w:left="720" w:hanging="360"/>
      </w:pPr>
      <w:r>
        <w:rPr>
          <w:rFonts w:hint="default" w:ascii="仿宋_gb2312" w:hAnsi="仿宋_gb2312" w:eastAsia="仿宋_gb2312" w:cs="仿宋_gb2312"/>
          <w:i w:val="0"/>
          <w:iCs w:val="0"/>
          <w:caps w:val="0"/>
          <w:color w:val="000000"/>
          <w:spacing w:val="0"/>
          <w:sz w:val="27"/>
          <w:szCs w:val="27"/>
          <w:shd w:val="clear" w:fill="FFFFFF"/>
        </w:rPr>
        <w:t>工程档案的验收与移交（一般）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第十一章合同条件</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第一节合同条件概述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  合同条件的概念和作用（一般）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  国际工程合同条件的标准格式（一般）</w:t>
      </w:r>
    </w:p>
    <w:p>
      <w:pPr>
        <w:pStyle w:val="2"/>
        <w:keepNext w:val="0"/>
        <w:keepLines w:val="0"/>
        <w:widowControl/>
        <w:suppressLineNumbers w:val="0"/>
        <w:shd w:val="clear" w:fill="FFFFFF"/>
        <w:spacing w:before="0" w:beforeAutospacing="0" w:after="150" w:afterAutospacing="0"/>
        <w:ind w:left="42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第二节标准施工招标文件</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  《标准文件》的组成（次重点）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  标准施工招标文件的通用合同条款（重点）</w:t>
      </w:r>
    </w:p>
    <w:p>
      <w:pPr>
        <w:pStyle w:val="2"/>
        <w:keepNext w:val="0"/>
        <w:keepLines w:val="0"/>
        <w:widowControl/>
        <w:suppressLineNumbers w:val="0"/>
        <w:shd w:val="clear" w:fill="FFFFFF"/>
        <w:spacing w:before="0" w:beforeAutospacing="0" w:after="150" w:afterAutospacing="0"/>
        <w:ind w:left="42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第三节FIDIC《土木工程施工合同条件》</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  FIDIC简介（次重点）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  FIDIC编制的各类合同条件的特点（一般）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  FIDIC合同条件的运用（一般）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  FIDIC99版合同条件简介（次重点）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5.  FIDIC99版施工合同条件（重点）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第三部分  有关说明与实施要求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一、指定教材</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《工程招投标与合同管理》  董巧婷等主编   中国铁道出版社  2008年版</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二、考试内容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本课程考试内容覆盖第一章到第十一章。</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三、关于命题考试的若干规定</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1．本课程的考试应根据本大纲规定的内容来确定考试范围和考核要求。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2．每份试卷中，各类考核点所占比例约为：重点65%、次重点占25%、一般占10%。</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3．本课程较合适的题型有单项选择题、多项选择题、填空题、判断题、名词解释题、简答题、论述题。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4．本课程采用百分制评分，60分合格。</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27"/>
          <w:szCs w:val="27"/>
          <w:shd w:val="clear" w:fill="FFFFFF"/>
        </w:rPr>
        <w:t>四、题型示例</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1. 填空：</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建设工程合同按照计价方式不同，可分为总价合同、单价合同和______________ 三大类。</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2. 单项选择题：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下列法律属于程序法的是（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A、民法    B、刑法   C、行政法      D、行政诉讼法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3. 多项选择题：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以下何种情况下投标人宜采用低利润策略（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A、工程量大、适于大机械化作业的工程</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B、业主是政府部门的工程</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C、业主支付不理想、风险较大的工程</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D、劳动密集型的工程</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E、技术要求高，投标人数少的工程</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4. 判断题：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要约人发出要约后，要约立即生效，要约人不得撤回。</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5. 名词解释题：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投标有效期</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6. 简答题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施工投标包括那些主要工作？</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7. 论述题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7"/>
          <w:szCs w:val="27"/>
          <w:shd w:val="clear" w:fill="FFFFFF"/>
        </w:rPr>
        <w:t>试述不平衡报价策略在承包商投标报价中的应用。</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CC20A8"/>
    <w:multiLevelType w:val="multilevel"/>
    <w:tmpl w:val="94CC20A8"/>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
    <w:nsid w:val="A7D96D9D"/>
    <w:multiLevelType w:val="multilevel"/>
    <w:tmpl w:val="A7D96D9D"/>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2">
    <w:nsid w:val="A8149376"/>
    <w:multiLevelType w:val="multilevel"/>
    <w:tmpl w:val="A8149376"/>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3">
    <w:nsid w:val="AAC04AAA"/>
    <w:multiLevelType w:val="multilevel"/>
    <w:tmpl w:val="AAC04AAA"/>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4">
    <w:nsid w:val="AE5BC327"/>
    <w:multiLevelType w:val="multilevel"/>
    <w:tmpl w:val="AE5BC327"/>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5">
    <w:nsid w:val="B8E57191"/>
    <w:multiLevelType w:val="multilevel"/>
    <w:tmpl w:val="B8E57191"/>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6">
    <w:nsid w:val="B9A6CCAA"/>
    <w:multiLevelType w:val="multilevel"/>
    <w:tmpl w:val="B9A6CCA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7">
    <w:nsid w:val="DD16E969"/>
    <w:multiLevelType w:val="multilevel"/>
    <w:tmpl w:val="DD16E969"/>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8">
    <w:nsid w:val="0041C0B1"/>
    <w:multiLevelType w:val="multilevel"/>
    <w:tmpl w:val="0041C0B1"/>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9">
    <w:nsid w:val="11AE0631"/>
    <w:multiLevelType w:val="multilevel"/>
    <w:tmpl w:val="11AE0631"/>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0">
    <w:nsid w:val="1561F04B"/>
    <w:multiLevelType w:val="multilevel"/>
    <w:tmpl w:val="1561F04B"/>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1">
    <w:nsid w:val="1721AC35"/>
    <w:multiLevelType w:val="multilevel"/>
    <w:tmpl w:val="1721AC35"/>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2">
    <w:nsid w:val="20B0EBBF"/>
    <w:multiLevelType w:val="multilevel"/>
    <w:tmpl w:val="20B0EBBF"/>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3">
    <w:nsid w:val="3BF3F383"/>
    <w:multiLevelType w:val="multilevel"/>
    <w:tmpl w:val="3BF3F383"/>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4">
    <w:nsid w:val="41F32D3F"/>
    <w:multiLevelType w:val="multilevel"/>
    <w:tmpl w:val="41F32D3F"/>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5">
    <w:nsid w:val="4319EDF7"/>
    <w:multiLevelType w:val="multilevel"/>
    <w:tmpl w:val="4319EDF7"/>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6">
    <w:nsid w:val="43321DF8"/>
    <w:multiLevelType w:val="multilevel"/>
    <w:tmpl w:val="43321DF8"/>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7">
    <w:nsid w:val="522C5C55"/>
    <w:multiLevelType w:val="multilevel"/>
    <w:tmpl w:val="522C5C55"/>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8">
    <w:nsid w:val="54732E61"/>
    <w:multiLevelType w:val="multilevel"/>
    <w:tmpl w:val="54732E61"/>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9">
    <w:nsid w:val="636DFC48"/>
    <w:multiLevelType w:val="multilevel"/>
    <w:tmpl w:val="636DFC48"/>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20">
    <w:nsid w:val="69E90CB5"/>
    <w:multiLevelType w:val="multilevel"/>
    <w:tmpl w:val="69E90CB5"/>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21">
    <w:nsid w:val="751F1E1E"/>
    <w:multiLevelType w:val="multilevel"/>
    <w:tmpl w:val="751F1E1E"/>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22">
    <w:nsid w:val="776601EC"/>
    <w:multiLevelType w:val="multilevel"/>
    <w:tmpl w:val="776601EC"/>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5"/>
  </w:num>
  <w:num w:numId="2">
    <w:abstractNumId w:val="11"/>
  </w:num>
  <w:num w:numId="3">
    <w:abstractNumId w:val="17"/>
  </w:num>
  <w:num w:numId="4">
    <w:abstractNumId w:val="6"/>
  </w:num>
  <w:num w:numId="5">
    <w:abstractNumId w:val="2"/>
  </w:num>
  <w:num w:numId="6">
    <w:abstractNumId w:val="16"/>
  </w:num>
  <w:num w:numId="7">
    <w:abstractNumId w:val="19"/>
  </w:num>
  <w:num w:numId="8">
    <w:abstractNumId w:val="4"/>
  </w:num>
  <w:num w:numId="9">
    <w:abstractNumId w:val="1"/>
  </w:num>
  <w:num w:numId="10">
    <w:abstractNumId w:val="18"/>
  </w:num>
  <w:num w:numId="11">
    <w:abstractNumId w:val="13"/>
  </w:num>
  <w:num w:numId="12">
    <w:abstractNumId w:val="0"/>
  </w:num>
  <w:num w:numId="13">
    <w:abstractNumId w:val="9"/>
  </w:num>
  <w:num w:numId="14">
    <w:abstractNumId w:val="3"/>
  </w:num>
  <w:num w:numId="15">
    <w:abstractNumId w:val="22"/>
  </w:num>
  <w:num w:numId="16">
    <w:abstractNumId w:val="8"/>
  </w:num>
  <w:num w:numId="17">
    <w:abstractNumId w:val="21"/>
  </w:num>
  <w:num w:numId="18">
    <w:abstractNumId w:val="14"/>
  </w:num>
  <w:num w:numId="19">
    <w:abstractNumId w:val="15"/>
  </w:num>
  <w:num w:numId="20">
    <w:abstractNumId w:val="12"/>
  </w:num>
  <w:num w:numId="21">
    <w:abstractNumId w:val="7"/>
  </w:num>
  <w:num w:numId="22">
    <w:abstractNumId w:val="10"/>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609A1CC5"/>
    <w:rsid w:val="0E0D74C6"/>
    <w:rsid w:val="609A1C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2022-07-26T08:05:00Z</dcterms:created>
  <dc:creator>成钰莹</dc:creator>
  <cp:lastModifiedBy>成钰莹</cp:lastModifiedBy>
  <dcterms:modified xsi:type="dcterms:W3CDTF">2022-07-26T08:05:49Z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3C0B50FE5D2242E2933F248EFD6180EE</vt:lpwstr>
  </property>
</Properties>
</file>