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6"/>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3"/>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6"/>
          <w:rFonts w:hint="default" w:ascii="仿宋_gb2312" w:hAnsi="仿宋_gb2312" w:eastAsia="仿宋_gb2312" w:cs="仿宋_gb2312"/>
          <w:i w:val="0"/>
          <w:iCs w:val="0"/>
          <w:caps w:val="0"/>
          <w:color w:val="000000"/>
          <w:spacing w:val="0"/>
          <w:sz w:val="30"/>
          <w:szCs w:val="30"/>
          <w:shd w:val="clear" w:fill="FFFFFF"/>
        </w:rPr>
        <w:t>课程名称：建设工程工程量清单计价实务           课程代码：04228</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本课程是高等教育自学考试工程造价管理专业所开设的专业课之一。</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该课程系统地介绍了建设工程各个建设阶段工程造价计价的基本原理与基础知识，并重点阐述了施工招投标阶段建设工程清单计价的原理与实践应用要求。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本课程的目的与任务是通过本课程的教学使学生了解工程计量与计价的基础知识，掌握工程计量与计价的基本原理和方法，具备工程计价的基本能力。</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课程设置目的是为了使考生能够理解建设工程计价的基本原理和基础知识，掌握施工招投标阶段建设工程清单计价的基本方法，具备工程量清单计价的基本能力。</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课程的学习，要求考生：理解建设工程计价的基本原理和基础知识，掌握在工程建设各个阶段工程计价的常用方法，重点掌握施工招投标阶段工程量清单计价模式的计价过程（难点在于清单工程量的计算和工程量清单计价中综合单价的计算），并具备一定的实际应用能力。</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一门专业性、政策性、技术性、经济性和应用性很强的专业课，以建筑制图基础、建筑力学、建筑材料、建筑构造为专业基础，以建筑结构、建筑施工技术、工程项目管理、工程招投标与合同管理、建设法规为相关课程。上述课程的许多内容被应用于本课程，为建设工程工程量清单计价服务。</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第一章  工程估价概论</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通过本章学习，理解工程造价的含义，了解工程估（计）价的含义，掌握工程估（计）价的特征，了解工程估（计）价的方法。</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工程估价的基本概念</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1.工程造价的含义。（次重点）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2.工程估（计）价的特征。（重点）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工程估价的发展 （不作要求）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第三节工程估价的原则与方法</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1.工程估（计）方法。（一般）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第二章 工程造价的构成</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通过本章学习，掌握设备及工器具费用构成与计算、建筑安装工程费用构成，了解工程建设其他费用构成、预备费、建设期利息基本概念。</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我国现行建设项目总投资及工程造价构成</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1.建设项目投资构成。（一般）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设备及工器具购置费用构成与计算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1.设备购置费概念及构成。（一般）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2.进口设备原价构成及计算。（重点）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建筑安装工程费用构成与计算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1.建筑安装工程费用组成。（重点）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2.直接费：直接工程费、措施费组成。（重点）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3.间接费：规费、企业管理费组成。（重点）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4.利润。（一般）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5.税金。（次重点）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工程建设其他费用构成</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1.工程建设其他费用构成。（一般）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预备费、建设期利息、固定资产投资方向调节税、流动资金</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1.预备费概念。（一般）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2.建设期利息概念。（一般）</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第三章 工程造价估价依据</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通过本章学习，了解工程建设定额的概念及作用，掌握工程建设定额分类，掌握工人工作时间分析和机械工作时间分析，理解施工定额和预算定额消耗量指标确定方法，熟练掌握预算定额套用和换算。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工程建设定额</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1.工程建设定额概念、作用。（次重点）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2.工程建设定额分类。（重点）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工作研究</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1.工人工作时间分析。（重点）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2.机械工作时间分析。（次重点）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施工定额</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1.施工定额概念。（一般）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2.劳动定额形式。（一般）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3.劳动定额消耗量指标确定。（次重点）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4.材料消耗定额消耗量指标确定。（次重点）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5.机械台班使用定额消耗量指标确定。（次重点）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预算定额</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1.预算定额的概念。（一般）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2.预算定额人工、材料、机械消耗量的确定。（次重点）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3.预算定额的应用：定额套用、定额换算（重点）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概算定额与概算指标</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1.概算定额概念。（一般）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2.概算指标概念。（一般）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投资估算指标和工程造价指数（不作要求）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第七节 企业定额</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1.企业定额概念及作用。（一般）</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第四章 工程计价程序与计价模式</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通过本章学习，理解建筑安装工程工料单价法、综合单价法计价程序；理解清单计价模式及特点，掌握建筑面积计算方法。</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建筑安装工程计价程序</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1.工料单价法计价程序。（次重点）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2.综合单价法计价程序。（次重点）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我国现行计价模式</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1.定额计价模式。（一般）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2.清单计价模式及其特点。（次重点）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第三节工程量计算概述</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1.工程量计算顺序。（一般）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第四节建筑面积计算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1.建筑面积概念。（一般）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2.建筑面积计算方法。（重点）</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第五章 投资估算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投资估算概述（不做要求）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投资估算编制（不作要求）</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第六章 设计概算与施工图预算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通过本章学习，了解设计概算概念、建筑工程单位工程概算编制方法，理解施工图预算概念、作用、依据，掌握单价法、实物法编制施工图预算步骤。</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设计概算概述</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1.设计概算概念。（一般）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设计概算编制</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概算定额法、概算指标法、类似工程预算法概念、适用条件。（一般）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施工图预算概述</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施工图预算概念。（一般）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施工图预算作用、依据。（次重点）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施工图预算编制</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1.单价法编制施工图预算的步骤。（重点）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2.实物法编制施工图预算的步骤。（重点）</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第七章  工程量清单计价实务 </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通过本章学习，掌握工程量清单作用、编制依据与编制要点；掌握工程量清单计价的基本原理，尤其综合单价的计算；掌握招标控制价、投标价编制依据及计算汇总流程；了解清单计价表格。</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工程量清单编制 </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1.工程量清单概念。（次重点）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2.工程量清单作用。（重点）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3.工程量清单编制人与编制依据。（重点）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4.分部分项工程量清单编制。（重点）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5.措施项目清单、其他项目清单编制。（次重点）、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6.规费税金项目清单编制。（一般）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工程量清单计价</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1.工程量清单计价下，建筑安装工程造价组成。（次重点）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2.综合单价的概念与计算。（重点）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3.措施项目清单计价、其他项目清单计价。（次重点）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4.规费税金计算及工程风险确定原则。（一般）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5.招标控制价编制依据与计算汇总流程。（重点）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6.投标报价编制依据与计算汇总流程。（重点）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工程量清单计价表格</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1.投标报价表格及逻辑关系。（一般）</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第八章  建设工程工程量清单计价</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通过本章学习，掌握计价规范附录A建筑工程常见清单项目的清单工程量计算规则和综合单价计算。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A.1土石方工程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平整场地、挖基础土方、土（石）方回填清单量计算规则和综合单价计算。（重点）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管沟土方清单项目清单量计算规则。（一般）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A.2地基与桩基础工程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1.混凝土灌注桩清单量计算规则及综合单价计算。（重点）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A.3砌筑工程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1.砖基础清单量计算规则和综合单价计算。（重点）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2.实心砖墙、零星砌砖清单量计算规则。（一般）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A.4混凝土及钢筋混凝土工程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1.现浇混凝土基础、现浇混凝土柱；现浇混凝土梁、现浇混凝土墙、现浇混凝土板、现浇混凝土楼梯、现浇混凝土其他构件清单量计算规则及综合单价计算。（重点）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2.预制混凝土梁、现浇混凝土钢筋、后张法预应力钢筋、预应力钢丝、预应力钢绞线、预埋铁件的清单量计算。（次重点）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A.5厂库房大门、特种门、木结构工程（不做要求）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A.6金属结构工程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1.钢屋架、钢网架、钢柱、钢梁清单量计算规则。（重点）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第七节 A.7屋面及防水工程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1.屋面卷材防水、屋面排水管清单量计算规则及综合单价计算。（重点）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2.瓦型材屋面、屋面刚性防水、屋面天沟檐沟、砂浆防水（防潮）清单量计算。（一般）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第八节 A.8防腐、隔热、保温工程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保温隔热屋面清单量计算规则及综合单价计算。（一般）。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第九节 A.9建筑工程措施项目（不作要求）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第九章 装饰装修工程清单编制与计价</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通过本章学习，掌握整体楼地面、块料楼地面清单项目的清单量计算及综合单价计算，了解墙柱面工程和天棚工程清单项目计量规则。</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B.1楼地面工程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1.整体面层、块料面层清单项目的清单量计算规则及综合单价计算。（重点）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2.踢脚线、楼梯装饰、扶手栏杆栏板装饰、台阶装饰清单项目清单量计量规则。（一般）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B.2 墙柱面工程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1.墙面抹灰、墙面镶贴块料、柱（梁）面装饰清单量计算规则及综合单价计算。（次重点）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2.柱面抹灰、柱面镶贴块料、零星抹灰、零星镶贴快料清单项目清单量计量规则。（一般）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B.3天棚工程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1.天棚吊顶清单量计算规则及综合单价计算。（次重点）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2.天棚抹灰清单量计量规则。（一般）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B.4 门窗工程（不作要求）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B.5 油漆、涂料、裱糊工程（不作要求）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B.6其他工程（不作要求）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ind w:left="0" w:firstLine="0"/>
        <w:rPr>
          <w:rFonts w:hint="eastAsia" w:ascii="微软雅黑" w:hAnsi="微软雅黑" w:eastAsia="微软雅黑" w:cs="微软雅黑"/>
          <w:i w:val="0"/>
          <w:iCs w:val="0"/>
          <w:caps w:val="0"/>
          <w:color w:val="000000"/>
          <w:spacing w:val="0"/>
        </w:rPr>
      </w:pPr>
      <w:r>
        <w:rPr>
          <w:rFonts w:hint="default" w:ascii="仿宋_gb2312" w:hAnsi="仿宋_gb2312" w:eastAsia="仿宋_gb2312" w:cs="仿宋_gb2312"/>
          <w:i w:val="0"/>
          <w:iCs w:val="0"/>
          <w:caps w:val="0"/>
          <w:color w:val="000000"/>
          <w:spacing w:val="0"/>
          <w:sz w:val="24"/>
          <w:szCs w:val="24"/>
          <w:shd w:val="clear" w:fill="FFFFFF"/>
        </w:rPr>
        <w:t>第十章 工程价款结算与竣工决算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通过本章学习，了解工程价款结算、竣工决算基本概念；了解质量保证金、缺陷责任期的概念；掌握清单价模式下工程价款调整的原则。</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工程价款结算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1.工程价款结算的概念。（一般）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2.预付款支付时间与扣回方式。（一般）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3.质量保证金、缺陷责任期的概念。（一般）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工程价款调整</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1.清单计价模式下，分部分项工程综合单价调整的原则（次重点）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2.清单计价模式下，措施费调整的原则（次重点）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索赔与现场签证</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1.索赔概念与索赔成立条件（一般）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竣工决算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1.竣工决算的概念（一般）</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《工程估价原理与清单计价实务》，李前进等主编，人民交通出版社，2009年版。</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本课程考试内容覆盖第一至第四章、第六至第十章，第五章不作要求，其它各章中不做要求的节已在各章的考核要求中明确。</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1．本课程的考试应根据本大纲规定的内容来确定考试范围和考核要求。</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3．本课程较合适的题型有单项选择题、多项选择题、填空题、名词解释、简答题和计算题。</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单项选择题：</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根据《建筑工程施工发包与承包计价管理办法》，综合单价法中的单价也称为（   ）。</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A.市场费用单价   B.全费用单价    C.工料机单价    D.扩大单价</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多项选择题：</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制定人工时间定额时，需考虑的时间有(    )。</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A.准备与结束时间       B.基本工作时间      C. 辅助工作时间 </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D.中午吃饭休息时间     E. 建设单位原因引起停工时间</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填空题：</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在招投标阶段，采用工程量清单方式招标，工程量清单的准确性和完整性由       负责。</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名词解释：</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竣工结算</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简答题：</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按照《建设工程工程量清单计价规范》（GB 50500-2008）规定，简述天棚抹灰工程量计算规则。</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 计算题： </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某工程设计采用平屋面，屋面保温部分工程量清单如表1所示。</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表1分部分项工程量清单与计价表</w:t>
      </w:r>
    </w:p>
    <w:tbl>
      <w:tblPr>
        <w:tblW w:w="0" w:type="auto"/>
        <w:jc w:val="center"/>
        <w:tblCellSpacing w:w="15" w:type="dxa"/>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59"/>
        <w:gridCol w:w="1572"/>
        <w:gridCol w:w="705"/>
        <w:gridCol w:w="3073"/>
        <w:gridCol w:w="662"/>
        <w:gridCol w:w="738"/>
        <w:gridCol w:w="652"/>
        <w:gridCol w:w="505"/>
      </w:tblGrid>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420" w:type="dxa"/>
            <w:vMerge w:val="restart"/>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序号</w:t>
            </w:r>
          </w:p>
        </w:tc>
        <w:tc>
          <w:tcPr>
            <w:tcW w:w="1545" w:type="dxa"/>
            <w:vMerge w:val="restart"/>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项目编码</w:t>
            </w:r>
          </w:p>
        </w:tc>
        <w:tc>
          <w:tcPr>
            <w:tcW w:w="690" w:type="dxa"/>
            <w:vMerge w:val="restart"/>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项目</w:t>
            </w:r>
          </w:p>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名称</w:t>
            </w:r>
          </w:p>
        </w:tc>
        <w:tc>
          <w:tcPr>
            <w:tcW w:w="3120" w:type="dxa"/>
            <w:vMerge w:val="restart"/>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项目特征描述</w:t>
            </w:r>
          </w:p>
        </w:tc>
        <w:tc>
          <w:tcPr>
            <w:tcW w:w="645" w:type="dxa"/>
            <w:vMerge w:val="restart"/>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计量单位</w:t>
            </w:r>
          </w:p>
        </w:tc>
        <w:tc>
          <w:tcPr>
            <w:tcW w:w="720" w:type="dxa"/>
            <w:vMerge w:val="restart"/>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工程量</w:t>
            </w:r>
          </w:p>
        </w:tc>
        <w:tc>
          <w:tcPr>
            <w:tcW w:w="1095" w:type="dxa"/>
            <w:gridSpan w:val="2"/>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金额（元）</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20"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1545"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690"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3120"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645"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720"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63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综合单价</w:t>
            </w:r>
          </w:p>
        </w:tc>
        <w:tc>
          <w:tcPr>
            <w:tcW w:w="4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合价</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42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w:t>
            </w:r>
          </w:p>
        </w:tc>
        <w:tc>
          <w:tcPr>
            <w:tcW w:w="154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010803001001</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保温隔热屋面</w:t>
            </w:r>
          </w:p>
        </w:tc>
        <w:tc>
          <w:tcPr>
            <w:tcW w:w="312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1.保温隔热部位：屋面</w:t>
            </w:r>
          </w:p>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2.保温隔热材料品种规格：1：6水泥炉渣最薄处60mm，平均厚100mm</w:t>
            </w:r>
          </w:p>
        </w:tc>
        <w:tc>
          <w:tcPr>
            <w:tcW w:w="64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m2</w:t>
            </w:r>
          </w:p>
        </w:tc>
        <w:tc>
          <w:tcPr>
            <w:tcW w:w="72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110</w:t>
            </w:r>
          </w:p>
        </w:tc>
        <w:tc>
          <w:tcPr>
            <w:tcW w:w="63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eastAsia" w:ascii="微软雅黑" w:hAnsi="微软雅黑" w:eastAsia="微软雅黑" w:cs="微软雅黑"/>
                <w:i w:val="0"/>
                <w:iCs w:val="0"/>
                <w:caps w:val="0"/>
                <w:color w:val="000000"/>
                <w:spacing w:val="0"/>
                <w:sz w:val="27"/>
                <w:szCs w:val="27"/>
                <w:bdr w:val="none" w:color="auto" w:sz="0" w:space="0"/>
              </w:rPr>
              <w:t> </w:t>
            </w:r>
          </w:p>
        </w:tc>
        <w:tc>
          <w:tcPr>
            <w:tcW w:w="4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eastAsia" w:ascii="微软雅黑" w:hAnsi="微软雅黑" w:eastAsia="微软雅黑" w:cs="微软雅黑"/>
                <w:i w:val="0"/>
                <w:iCs w:val="0"/>
                <w:caps w:val="0"/>
                <w:color w:val="000000"/>
                <w:spacing w:val="0"/>
                <w:sz w:val="27"/>
                <w:szCs w:val="27"/>
                <w:bdr w:val="none" w:color="auto" w:sz="0" w:space="0"/>
              </w:rPr>
              <w:t> </w:t>
            </w:r>
          </w:p>
        </w:tc>
      </w:tr>
    </w:tbl>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某投标人企业定额人材机消耗量及人材机价格如表2所示，企业定额规定“屋面保温隔热层应按照设计实铺厚度以立方米计算”。投标人以“直接费中人工费+机械费”为计费基数测算的企业管理费、利润率分别为18%、7%。计算该投标人应填报的保温隔热屋面综合单价。</w:t>
      </w:r>
    </w:p>
    <w:p>
      <w:pPr>
        <w:pStyle w:val="3"/>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表2定额人材机消耗量及人材机价格表</w:t>
      </w:r>
    </w:p>
    <w:tbl>
      <w:tblPr>
        <w:tblW w:w="0" w:type="auto"/>
        <w:jc w:val="center"/>
        <w:tblCellSpacing w:w="15" w:type="dxa"/>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663"/>
        <w:gridCol w:w="3020"/>
        <w:gridCol w:w="691"/>
        <w:gridCol w:w="1072"/>
        <w:gridCol w:w="2920"/>
      </w:tblGrid>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5565" w:type="dxa"/>
            <w:gridSpan w:val="4"/>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项目编码</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A8-217</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5565" w:type="dxa"/>
            <w:gridSpan w:val="4"/>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项目名称</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1：6水泥炉渣屋面保温（m3）</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3810" w:type="dxa"/>
            <w:gridSpan w:val="2"/>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名称</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单位</w:t>
            </w:r>
          </w:p>
        </w:tc>
        <w:tc>
          <w:tcPr>
            <w:tcW w:w="10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市场单价</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ind w:left="-223"/>
            </w:pPr>
            <w:r>
              <w:rPr>
                <w:rFonts w:hint="default" w:ascii="仿宋_gb2312" w:hAnsi="仿宋_gb2312" w:eastAsia="仿宋_gb2312" w:cs="仿宋_gb2312"/>
                <w:i w:val="0"/>
                <w:iCs w:val="0"/>
                <w:caps w:val="0"/>
                <w:color w:val="000000"/>
                <w:spacing w:val="0"/>
                <w:sz w:val="24"/>
                <w:szCs w:val="24"/>
              </w:rPr>
              <w:t>消耗量</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64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人工</w:t>
            </w:r>
          </w:p>
        </w:tc>
        <w:tc>
          <w:tcPr>
            <w:tcW w:w="31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综合用工三类</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工日</w:t>
            </w:r>
          </w:p>
        </w:tc>
        <w:tc>
          <w:tcPr>
            <w:tcW w:w="10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40.00</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0.843</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645" w:type="dxa"/>
            <w:vMerge w:val="restart"/>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材料</w:t>
            </w:r>
          </w:p>
        </w:tc>
        <w:tc>
          <w:tcPr>
            <w:tcW w:w="31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水泥炉渣1：6</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m3</w:t>
            </w:r>
          </w:p>
        </w:tc>
        <w:tc>
          <w:tcPr>
            <w:tcW w:w="10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eastAsia" w:ascii="微软雅黑" w:hAnsi="微软雅黑" w:eastAsia="微软雅黑" w:cs="微软雅黑"/>
                <w:i w:val="0"/>
                <w:iCs w:val="0"/>
                <w:caps w:val="0"/>
                <w:color w:val="000000"/>
                <w:spacing w:val="0"/>
                <w:sz w:val="27"/>
                <w:szCs w:val="27"/>
                <w:bdr w:val="none" w:color="auto" w:sz="0" w:space="0"/>
              </w:rPr>
              <w:t> </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（1.010）</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645"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31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水泥32.5</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t</w:t>
            </w:r>
          </w:p>
        </w:tc>
        <w:tc>
          <w:tcPr>
            <w:tcW w:w="10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260.00</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0.255</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tblCellMar>
            <w:top w:w="0" w:type="dxa"/>
            <w:left w:w="0" w:type="dxa"/>
            <w:bottom w:w="0" w:type="dxa"/>
            <w:right w:w="0" w:type="dxa"/>
          </w:tblCellMar>
        </w:tblPrEx>
        <w:trPr>
          <w:tblCellSpacing w:w="15" w:type="dxa"/>
          <w:jc w:val="center"/>
        </w:trPr>
        <w:tc>
          <w:tcPr>
            <w:tcW w:w="645"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31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炉渣</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m3</w:t>
            </w:r>
          </w:p>
        </w:tc>
        <w:tc>
          <w:tcPr>
            <w:tcW w:w="10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30.00</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1.283</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645" w:type="dxa"/>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iCs w:val="0"/>
                <w:caps w:val="0"/>
                <w:color w:val="000000"/>
                <w:spacing w:val="0"/>
                <w:sz w:val="27"/>
                <w:szCs w:val="27"/>
              </w:rPr>
            </w:pPr>
          </w:p>
        </w:tc>
        <w:tc>
          <w:tcPr>
            <w:tcW w:w="31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水</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m3</w:t>
            </w:r>
          </w:p>
        </w:tc>
        <w:tc>
          <w:tcPr>
            <w:tcW w:w="10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3.10</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0.303</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jc w:val="center"/>
        </w:trPr>
        <w:tc>
          <w:tcPr>
            <w:tcW w:w="64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机械</w:t>
            </w:r>
          </w:p>
        </w:tc>
        <w:tc>
          <w:tcPr>
            <w:tcW w:w="31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滚筒式混凝土搅拌机500L以内</w:t>
            </w:r>
          </w:p>
        </w:tc>
        <w:tc>
          <w:tcPr>
            <w:tcW w:w="69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台班</w:t>
            </w:r>
          </w:p>
        </w:tc>
        <w:tc>
          <w:tcPr>
            <w:tcW w:w="1065"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120.00</w:t>
            </w:r>
          </w:p>
        </w:tc>
        <w:tc>
          <w:tcPr>
            <w:tcW w:w="3000" w:type="dxa"/>
            <w:tcBorders>
              <w:top w:val="nil"/>
              <w:left w:val="nil"/>
              <w:bottom w:val="nil"/>
              <w:right w:val="nil"/>
            </w:tcBorders>
            <w:shd w:val="clear" w:color="auto" w:fill="FFFFFF"/>
            <w:vAlign w:val="center"/>
          </w:tcPr>
          <w:p>
            <w:pPr>
              <w:pStyle w:val="3"/>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0.050</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6870EDE"/>
    <w:rsid w:val="56870E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2022-07-26T08:03:00Z</dcterms:created>
  <dc:creator>成钰莹</dc:creator>
  <cp:lastModifiedBy>成钰莹</cp:lastModifiedBy>
  <dcterms:modified xsi:type="dcterms:W3CDTF">2022-07-26T08:03:57Z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DE720DEEB6164964A573C02ACDB73732</vt:lpwstr>
  </property>
</Properties>
</file>