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黑体" w:eastAsia="黑体"/>
          <w:b/>
          <w:sz w:val="30"/>
          <w:szCs w:val="30"/>
          <w:lang w:val="en-US" w:eastAsia="zh-CN"/>
        </w:rPr>
      </w:pPr>
      <w:r>
        <w:rPr>
          <w:rFonts w:hint="eastAsia" w:ascii="黑体" w:eastAsia="黑体"/>
          <w:b/>
          <w:sz w:val="30"/>
          <w:szCs w:val="30"/>
        </w:rPr>
        <w:t>高纲</w:t>
      </w:r>
      <w:r>
        <w:rPr>
          <w:rFonts w:hint="eastAsia" w:ascii="黑体" w:eastAsia="黑体"/>
          <w:b/>
          <w:sz w:val="30"/>
          <w:szCs w:val="30"/>
          <w:lang w:val="en-US" w:eastAsia="zh-CN"/>
        </w:rPr>
        <w:t>1815</w:t>
      </w:r>
    </w:p>
    <w:p>
      <w:pPr>
        <w:rPr>
          <w:rFonts w:hint="eastAsia" w:ascii="黑体" w:eastAsia="黑体"/>
          <w:b/>
          <w:sz w:val="30"/>
          <w:szCs w:val="30"/>
        </w:rPr>
      </w:pPr>
    </w:p>
    <w:p>
      <w:pPr>
        <w:rPr>
          <w:rFonts w:hint="eastAsia" w:ascii="黑体" w:eastAsia="黑体"/>
          <w:b/>
          <w:sz w:val="30"/>
          <w:szCs w:val="30"/>
        </w:rPr>
      </w:pPr>
      <w:r>
        <w:rPr>
          <w:rFonts w:hint="eastAsia" w:ascii="黑体" w:eastAsia="黑体"/>
          <w:b/>
          <w:sz w:val="30"/>
          <w:szCs w:val="30"/>
        </w:rPr>
        <w:t>江苏省高等教育自学考试大纲</w:t>
      </w:r>
    </w:p>
    <w:p>
      <w:r>
        <w:t xml:space="preserve"> </w:t>
      </w:r>
    </w:p>
    <w:p>
      <w:r>
        <w:t xml:space="preserve"> </w:t>
      </w:r>
    </w:p>
    <w:p>
      <w:r>
        <w:t xml:space="preserve"> </w:t>
      </w:r>
    </w:p>
    <w:p>
      <w:pPr>
        <w:rPr>
          <w:rFonts w:hint="eastAsia"/>
        </w:rPr>
      </w:pPr>
      <w:r>
        <w:t xml:space="preserve"> </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r>
        <w:t xml:space="preserve"> </w:t>
      </w:r>
    </w:p>
    <w:p>
      <w:r>
        <w:t xml:space="preserve"> </w:t>
      </w:r>
    </w:p>
    <w:p>
      <w:pPr>
        <w:jc w:val="center"/>
        <w:rPr>
          <w:rFonts w:hint="default" w:ascii="黑体" w:eastAsia="黑体"/>
          <w:b/>
          <w:sz w:val="48"/>
          <w:szCs w:val="48"/>
          <w:lang w:val="en-US" w:eastAsia="zh-CN"/>
        </w:rPr>
      </w:pPr>
      <w:r>
        <w:rPr>
          <w:rFonts w:hint="eastAsia" w:ascii="黑体" w:eastAsia="黑体"/>
          <w:b/>
          <w:sz w:val="48"/>
          <w:szCs w:val="48"/>
          <w:lang w:val="en-US" w:eastAsia="zh-CN"/>
        </w:rPr>
        <w:t>27418</w:t>
      </w:r>
      <w:r>
        <w:rPr>
          <w:rFonts w:hint="eastAsia" w:ascii="黑体" w:eastAsia="黑体"/>
          <w:b/>
          <w:sz w:val="48"/>
          <w:szCs w:val="48"/>
        </w:rPr>
        <w:t>　</w:t>
      </w:r>
      <w:r>
        <w:rPr>
          <w:rFonts w:hint="eastAsia" w:ascii="黑体" w:eastAsia="黑体"/>
          <w:b/>
          <w:sz w:val="48"/>
          <w:szCs w:val="48"/>
          <w:lang w:val="en-US" w:eastAsia="zh-CN"/>
        </w:rPr>
        <w:t>广告媒介实务</w:t>
      </w:r>
    </w:p>
    <w:p>
      <w:r>
        <w:t xml:space="preserve"> </w:t>
      </w:r>
    </w:p>
    <w:p>
      <w:pPr>
        <w:jc w:val="right"/>
        <w:rPr>
          <w:rFonts w:hint="eastAsia"/>
        </w:rPr>
      </w:pPr>
      <w:r>
        <w:rPr>
          <w:rFonts w:hint="eastAsia"/>
        </w:rPr>
        <w:t>　　　　　　　　　　　　　　</w:t>
      </w:r>
      <w:r>
        <w:rPr>
          <w:rFonts w:hint="eastAsia" w:ascii="黑体" w:eastAsia="黑体"/>
          <w:b/>
          <w:sz w:val="28"/>
          <w:szCs w:val="28"/>
        </w:rPr>
        <w:t>　南京大学编（2019年）</w:t>
      </w:r>
    </w:p>
    <w:p>
      <w:r>
        <w:t xml:space="preserve"> </w:t>
      </w:r>
    </w:p>
    <w:p>
      <w:r>
        <w:t xml:space="preserve"> </w:t>
      </w:r>
    </w:p>
    <w:p>
      <w:r>
        <w:t xml:space="preserve"> </w:t>
      </w:r>
    </w:p>
    <w:p>
      <w:pPr>
        <w:rPr>
          <w:rFonts w:hint="eastAsia"/>
        </w:rPr>
      </w:pPr>
      <w:r>
        <w:t xml:space="preserve"> </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
      <w:pPr>
        <w:jc w:val="center"/>
        <w:rPr>
          <w:rFonts w:hint="eastAsia"/>
        </w:rPr>
      </w:pPr>
      <w:r>
        <w:rPr>
          <w:rFonts w:hint="eastAsia" w:ascii="黑体" w:eastAsia="黑体"/>
          <w:b/>
          <w:sz w:val="28"/>
          <w:szCs w:val="28"/>
        </w:rPr>
        <w:t>江苏省高等教育自学考试委员会办公室</w:t>
      </w:r>
    </w:p>
    <w:p>
      <w:pPr>
        <w:widowControl/>
        <w:shd w:val="clear" w:color="auto" w:fill="FFFFFF"/>
        <w:jc w:val="left"/>
        <w:rPr>
          <w:rFonts w:hint="eastAsia" w:ascii="黑体" w:hAnsi="黑体" w:eastAsia="黑体" w:cs="宋体"/>
          <w:color w:val="000000"/>
          <w:kern w:val="0"/>
          <w:sz w:val="30"/>
          <w:szCs w:val="30"/>
        </w:rPr>
      </w:pP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left="482" w:leftChars="199" w:hanging="64" w:hangingChars="27"/>
        <w:jc w:val="both"/>
        <w:textAlignment w:val="auto"/>
        <w:rPr>
          <w:rFonts w:hint="eastAsia" w:ascii="黑体" w:hAnsi="黑体" w:eastAsia="黑体" w:cs="宋体"/>
          <w:color w:val="000000"/>
          <w:kern w:val="0"/>
          <w:sz w:val="24"/>
          <w:szCs w:val="24"/>
        </w:rPr>
      </w:pPr>
      <w:r>
        <w:rPr>
          <w:rFonts w:hint="eastAsia" w:ascii="Times New Roman" w:hAnsi="Times New Roman" w:eastAsia="微软雅黑" w:cs="Times New Roman"/>
          <w:color w:val="000000"/>
          <w:kern w:val="0"/>
          <w:sz w:val="24"/>
          <w:szCs w:val="24"/>
        </w:rPr>
        <w:t>一、</w:t>
      </w:r>
      <w:r>
        <w:rPr>
          <w:rFonts w:hint="eastAsia" w:ascii="黑体" w:hAnsi="黑体" w:eastAsia="黑体" w:cs="宋体"/>
          <w:color w:val="000000"/>
          <w:kern w:val="0"/>
          <w:sz w:val="24"/>
          <w:szCs w:val="24"/>
        </w:rPr>
        <w:t>课程性质与设置目的要求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firstLineChars="200"/>
        <w:jc w:val="both"/>
        <w:textAlignment w:val="auto"/>
        <w:rPr>
          <w:rFonts w:ascii="微软雅黑" w:hAnsi="微软雅黑" w:eastAsia="微软雅黑" w:cs="宋体"/>
          <w:color w:val="000000"/>
          <w:kern w:val="0"/>
          <w:sz w:val="21"/>
          <w:szCs w:val="21"/>
        </w:rPr>
      </w:pPr>
      <w:r>
        <w:rPr>
          <w:rFonts w:hint="eastAsia" w:ascii="宋体" w:hAnsi="宋体" w:eastAsia="宋体" w:cs="宋体"/>
          <w:color w:val="000000"/>
          <w:kern w:val="0"/>
          <w:sz w:val="21"/>
          <w:szCs w:val="21"/>
        </w:rPr>
        <w:t>《广告媒介实务》课程是我省高等教育自学考试广告学专业必考的课程，是为了培养和检验自学应考者关于广告媒介实务的基本理论、基本知识和实践应用能力而设置的一门专业基础课程。</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ascii="微软雅黑" w:hAnsi="微软雅黑" w:eastAsia="微软雅黑" w:cs="宋体"/>
          <w:color w:val="000000"/>
          <w:kern w:val="0"/>
          <w:sz w:val="21"/>
          <w:szCs w:val="21"/>
        </w:rPr>
      </w:pPr>
      <w:r>
        <w:rPr>
          <w:rFonts w:hint="eastAsia" w:ascii="宋体" w:hAnsi="宋体" w:eastAsia="宋体" w:cs="宋体"/>
          <w:color w:val="000000"/>
          <w:kern w:val="0"/>
          <w:sz w:val="21"/>
          <w:szCs w:val="21"/>
        </w:rPr>
        <w:t>本课程以广告媒体作业的基本理论和基本方法为主要内容，重点介绍了广告媒介领域的一些基本概念及其实际应用，并详细介绍了广告媒体作业的基本内容、一般流程以及具体的操作方法。本课程命题将充分体现该课程的性质和特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本课程的具体要求是：能够使自学应考者比较全面系统地掌握广告媒介实务的基本概念、基本理论和基本方法与经验；规范地掌握广告媒介实务的基本范畴和术语；培养和提高正确开展广告媒介作业的能力，以便能够胜任广告媒介分析、广告媒介计划、广告媒介购买以及其它与广告媒介相关的专业工作。</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left="482" w:leftChars="199" w:hanging="64" w:hangingChars="27"/>
        <w:jc w:val="both"/>
        <w:textAlignment w:val="auto"/>
        <w:rPr>
          <w:rFonts w:hint="eastAsia" w:ascii="Times New Roman" w:hAnsi="Times New Roman" w:eastAsia="微软雅黑" w:cs="Times New Roman"/>
          <w:color w:val="000000"/>
          <w:kern w:val="0"/>
          <w:sz w:val="24"/>
          <w:szCs w:val="24"/>
        </w:rPr>
      </w:pPr>
      <w:r>
        <w:rPr>
          <w:rFonts w:hint="eastAsia" w:ascii="黑体" w:hAnsi="黑体" w:eastAsia="黑体" w:cs="黑体"/>
          <w:color w:val="000000"/>
          <w:kern w:val="0"/>
          <w:sz w:val="24"/>
          <w:szCs w:val="24"/>
        </w:rPr>
        <w:t>二、考核目标（考核知识点和要求）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kern w:val="0"/>
          <w:sz w:val="28"/>
          <w:szCs w:val="28"/>
        </w:rPr>
      </w:pPr>
    </w:p>
    <w:p>
      <w:pPr>
        <w:keepNext w:val="0"/>
        <w:keepLines w:val="0"/>
        <w:pageBreakBefore w:val="0"/>
        <w:widowControl/>
        <w:shd w:val="clear" w:color="auto" w:fill="FFFFFF"/>
        <w:kinsoku/>
        <w:wordWrap/>
        <w:overflowPunct/>
        <w:topLinePunct w:val="0"/>
        <w:autoSpaceDE/>
        <w:autoSpaceDN/>
        <w:bidi w:val="0"/>
        <w:adjustRightInd/>
        <w:snapToGrid/>
        <w:spacing w:line="400" w:lineRule="exact"/>
        <w:jc w:val="center"/>
        <w:textAlignment w:val="auto"/>
        <w:rPr>
          <w:rFonts w:ascii="微软雅黑" w:hAnsi="微软雅黑" w:eastAsia="微软雅黑" w:cs="宋体"/>
          <w:color w:val="000000"/>
          <w:kern w:val="0"/>
          <w:sz w:val="24"/>
          <w:szCs w:val="24"/>
        </w:rPr>
      </w:pPr>
      <w:r>
        <w:rPr>
          <w:rFonts w:hint="eastAsia" w:ascii="宋体" w:hAnsi="宋体" w:eastAsia="宋体" w:cs="宋体"/>
          <w:b/>
          <w:bCs/>
          <w:color w:val="000000"/>
          <w:kern w:val="0"/>
          <w:sz w:val="24"/>
          <w:szCs w:val="24"/>
        </w:rPr>
        <w:t>第一章</w:t>
      </w:r>
      <w:r>
        <w:rPr>
          <w:rFonts w:hint="eastAsia" w:ascii="宋体" w:hAnsi="宋体" w:eastAsia="宋体" w:cs="宋体"/>
          <w:b/>
          <w:bCs/>
          <w:color w:val="000000"/>
          <w:kern w:val="0"/>
          <w:sz w:val="24"/>
          <w:szCs w:val="24"/>
          <w:lang w:val="en-US" w:eastAsia="zh-CN"/>
        </w:rPr>
        <w:t xml:space="preserve">  </w:t>
      </w:r>
      <w:r>
        <w:rPr>
          <w:rFonts w:hint="eastAsia" w:ascii="宋体" w:hAnsi="宋体" w:eastAsia="宋体" w:cs="宋体"/>
          <w:b/>
          <w:bCs/>
          <w:color w:val="000000"/>
          <w:kern w:val="0"/>
          <w:sz w:val="24"/>
          <w:szCs w:val="24"/>
        </w:rPr>
        <w:t>广告策划观念与理论嬗变</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jc w:val="left"/>
        <w:textAlignment w:val="auto"/>
        <w:rPr>
          <w:rFonts w:ascii="微软雅黑" w:hAnsi="微软雅黑" w:eastAsia="微软雅黑" w:cs="宋体"/>
          <w:color w:val="000000"/>
          <w:kern w:val="0"/>
          <w:sz w:val="21"/>
          <w:szCs w:val="21"/>
        </w:rPr>
      </w:pPr>
      <w:r>
        <w:rPr>
          <w:rFonts w:hint="eastAsia" w:ascii="Times New Roman" w:hAnsi="Times New Roman" w:eastAsia="微软雅黑" w:cs="Times New Roman"/>
          <w:color w:val="000000"/>
          <w:kern w:val="0"/>
          <w:sz w:val="21"/>
          <w:szCs w:val="21"/>
        </w:rPr>
        <w:t>1</w:t>
      </w:r>
      <w:r>
        <w:rPr>
          <w:rFonts w:hint="eastAsia" w:ascii="黑体" w:hAnsi="黑体" w:eastAsia="黑体" w:cs="宋体"/>
          <w:color w:val="000000"/>
          <w:kern w:val="0"/>
          <w:sz w:val="21"/>
          <w:szCs w:val="21"/>
        </w:rPr>
        <w:t>、学习目的和要求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通过本章的学习，掌握主要广告策划概念与边界；广告策划观念的演变；广告策划的基本理论等知识，为以后的学习做知识准备。</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黑体" w:hAnsi="黑体" w:eastAsia="黑体" w:cs="宋体"/>
          <w:color w:val="000000"/>
          <w:kern w:val="0"/>
          <w:sz w:val="21"/>
          <w:szCs w:val="21"/>
        </w:rPr>
      </w:pPr>
      <w:r>
        <w:rPr>
          <w:rFonts w:hint="eastAsia" w:ascii="Times New Roman" w:hAnsi="Times New Roman" w:eastAsia="微软雅黑" w:cs="Times New Roman"/>
          <w:color w:val="000000"/>
          <w:kern w:val="0"/>
          <w:sz w:val="21"/>
          <w:szCs w:val="21"/>
        </w:rPr>
        <w:t>2</w:t>
      </w:r>
      <w:r>
        <w:rPr>
          <w:rFonts w:hint="eastAsia" w:ascii="黑体" w:hAnsi="黑体" w:eastAsia="黑体" w:cs="宋体"/>
          <w:color w:val="000000"/>
          <w:kern w:val="0"/>
          <w:sz w:val="21"/>
          <w:szCs w:val="21"/>
        </w:rPr>
        <w:t>、考核知识点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（1）广告策划的概念、范围和内容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（2）广告策划观念发展演变过程</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ascii="微软雅黑" w:hAnsi="微软雅黑" w:eastAsia="微软雅黑" w:cs="宋体"/>
          <w:color w:val="000000"/>
          <w:kern w:val="0"/>
          <w:sz w:val="21"/>
          <w:szCs w:val="21"/>
        </w:rPr>
      </w:pPr>
      <w:r>
        <w:rPr>
          <w:rFonts w:hint="eastAsia" w:ascii="宋体" w:hAnsi="宋体" w:eastAsia="宋体" w:cs="宋体"/>
          <w:color w:val="000000"/>
          <w:kern w:val="0"/>
          <w:sz w:val="21"/>
          <w:szCs w:val="21"/>
        </w:rPr>
        <w:t>（3）广告理论发展中的主要奠基者</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jc w:val="left"/>
        <w:textAlignment w:val="auto"/>
        <w:rPr>
          <w:rFonts w:hint="eastAsia" w:ascii="黑体" w:hAnsi="黑体" w:eastAsia="黑体" w:cs="宋体"/>
          <w:color w:val="000000"/>
          <w:kern w:val="0"/>
          <w:sz w:val="21"/>
          <w:szCs w:val="21"/>
        </w:rPr>
      </w:pPr>
      <w:r>
        <w:rPr>
          <w:rFonts w:hint="eastAsia" w:ascii="Times New Roman" w:hAnsi="Times New Roman" w:eastAsia="微软雅黑" w:cs="Times New Roman"/>
          <w:color w:val="000000"/>
          <w:kern w:val="0"/>
          <w:sz w:val="21"/>
          <w:szCs w:val="21"/>
        </w:rPr>
        <w:t>3</w:t>
      </w:r>
      <w:r>
        <w:rPr>
          <w:rFonts w:hint="eastAsia" w:ascii="黑体" w:hAnsi="黑体" w:eastAsia="黑体" w:cs="宋体"/>
          <w:color w:val="000000"/>
          <w:kern w:val="0"/>
          <w:sz w:val="21"/>
          <w:szCs w:val="21"/>
        </w:rPr>
        <w:t>、考核要求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（1）识记：广告策划的概念及其基本指向；广告理论发展中的主要奠基者</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（2）领会：</w:t>
      </w:r>
      <w:r>
        <w:rPr>
          <w:rFonts w:hint="eastAsia" w:ascii="宋体" w:hAnsi="宋体" w:eastAsia="宋体" w:cs="宋体"/>
          <w:color w:val="000000"/>
          <w:kern w:val="0"/>
          <w:sz w:val="21"/>
          <w:szCs w:val="21"/>
          <w:lang w:val="en-US" w:eastAsia="zh-CN"/>
        </w:rPr>
        <w:t xml:space="preserve"> </w:t>
      </w:r>
      <w:r>
        <w:rPr>
          <w:rFonts w:hint="eastAsia" w:ascii="宋体" w:hAnsi="宋体" w:eastAsia="宋体" w:cs="宋体"/>
          <w:color w:val="000000"/>
          <w:kern w:val="0"/>
          <w:sz w:val="21"/>
          <w:szCs w:val="21"/>
        </w:rPr>
        <w:t>广告策划的内容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广告理论发展中的重要理论</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广告策划中的主要方法</w:t>
      </w:r>
    </w:p>
    <w:p>
      <w:pPr>
        <w:keepNext w:val="0"/>
        <w:keepLines w:val="0"/>
        <w:pageBreakBefore w:val="0"/>
        <w:widowControl/>
        <w:shd w:val="clear" w:color="auto" w:fill="FFFFFF"/>
        <w:kinsoku/>
        <w:wordWrap/>
        <w:overflowPunct/>
        <w:topLinePunct w:val="0"/>
        <w:autoSpaceDE/>
        <w:autoSpaceDN/>
        <w:bidi w:val="0"/>
        <w:adjustRightInd/>
        <w:snapToGrid/>
        <w:spacing w:line="400" w:lineRule="exact"/>
        <w:jc w:val="left"/>
        <w:textAlignment w:val="auto"/>
        <w:rPr>
          <w:rFonts w:ascii="微软雅黑" w:hAnsi="微软雅黑" w:eastAsia="微软雅黑" w:cs="宋体"/>
          <w:color w:val="000000"/>
          <w:kern w:val="0"/>
          <w:sz w:val="18"/>
          <w:szCs w:val="18"/>
        </w:rPr>
      </w:pPr>
      <w:r>
        <w:rPr>
          <w:rFonts w:hint="eastAsia" w:ascii="Times New Roman" w:hAnsi="Times New Roman" w:eastAsia="微软雅黑" w:cs="Times New Roman"/>
          <w:color w:val="000000"/>
          <w:kern w:val="0"/>
          <w:sz w:val="24"/>
          <w:szCs w:val="24"/>
        </w:rPr>
        <w:t> </w:t>
      </w:r>
    </w:p>
    <w:p>
      <w:pPr>
        <w:keepNext w:val="0"/>
        <w:keepLines w:val="0"/>
        <w:pageBreakBefore w:val="0"/>
        <w:widowControl/>
        <w:shd w:val="clear" w:color="auto" w:fill="FFFFFF"/>
        <w:kinsoku/>
        <w:wordWrap/>
        <w:overflowPunct/>
        <w:topLinePunct w:val="0"/>
        <w:autoSpaceDE/>
        <w:autoSpaceDN/>
        <w:bidi w:val="0"/>
        <w:adjustRightInd/>
        <w:snapToGrid/>
        <w:spacing w:line="400" w:lineRule="exact"/>
        <w:jc w:val="center"/>
        <w:textAlignment w:val="auto"/>
        <w:rPr>
          <w:rFonts w:ascii="微软雅黑" w:hAnsi="微软雅黑" w:eastAsia="微软雅黑" w:cs="宋体"/>
          <w:color w:val="000000"/>
          <w:kern w:val="0"/>
          <w:sz w:val="18"/>
          <w:szCs w:val="18"/>
        </w:rPr>
      </w:pPr>
      <w:r>
        <w:rPr>
          <w:rFonts w:hint="eastAsia" w:ascii="宋体" w:hAnsi="宋体" w:eastAsia="宋体" w:cs="宋体"/>
          <w:b/>
          <w:bCs/>
          <w:color w:val="000000"/>
          <w:kern w:val="0"/>
          <w:sz w:val="24"/>
          <w:szCs w:val="24"/>
        </w:rPr>
        <w:t>第二章</w:t>
      </w:r>
      <w:r>
        <w:rPr>
          <w:rFonts w:hint="eastAsia" w:ascii="宋体" w:hAnsi="宋体" w:eastAsia="宋体" w:cs="宋体"/>
          <w:b/>
          <w:bCs/>
          <w:color w:val="000000"/>
          <w:kern w:val="0"/>
          <w:sz w:val="24"/>
          <w:szCs w:val="24"/>
          <w:lang w:val="en-US" w:eastAsia="zh-CN"/>
        </w:rPr>
        <w:t xml:space="preserve">  </w:t>
      </w:r>
      <w:r>
        <w:rPr>
          <w:rFonts w:hint="eastAsia" w:ascii="宋体" w:hAnsi="宋体" w:eastAsia="宋体" w:cs="宋体"/>
          <w:b/>
          <w:bCs/>
          <w:color w:val="000000"/>
          <w:kern w:val="0"/>
          <w:sz w:val="24"/>
          <w:szCs w:val="24"/>
        </w:rPr>
        <w:t>广告策划模式与工具变革</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1、学习目的和要求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通过本章的学习，掌握广告策划原则与流程；广告策划的路径依赖；广告策划的工具模式等有关内容。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b/>
          <w:bCs/>
          <w:color w:val="000000"/>
          <w:kern w:val="0"/>
          <w:sz w:val="21"/>
          <w:szCs w:val="21"/>
        </w:rPr>
        <w:t>2、考核知识点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fldChar w:fldCharType="begin"/>
      </w:r>
      <w:r>
        <w:rPr>
          <w:rFonts w:hint="eastAsia" w:ascii="宋体" w:hAnsi="宋体" w:eastAsia="宋体" w:cs="宋体"/>
          <w:color w:val="000000"/>
          <w:kern w:val="0"/>
          <w:sz w:val="21"/>
          <w:szCs w:val="21"/>
        </w:rPr>
        <w:instrText xml:space="preserve"> HYPERLINK "http://202.102.112.54/fck/editor/fckeditor.html?InstanceName=content&amp;Toolbar=Default" \l "_Toc5582" </w:instrText>
      </w:r>
      <w:r>
        <w:rPr>
          <w:rFonts w:hint="eastAsia" w:ascii="宋体" w:hAnsi="宋体" w:eastAsia="宋体" w:cs="宋体"/>
          <w:color w:val="000000"/>
          <w:kern w:val="0"/>
          <w:sz w:val="21"/>
          <w:szCs w:val="21"/>
        </w:rPr>
        <w:fldChar w:fldCharType="separate"/>
      </w:r>
      <w:r>
        <w:rPr>
          <w:rFonts w:hint="eastAsia" w:ascii="宋体" w:hAnsi="宋体" w:eastAsia="宋体" w:cs="宋体"/>
          <w:color w:val="000000"/>
          <w:kern w:val="0"/>
          <w:sz w:val="21"/>
          <w:szCs w:val="21"/>
        </w:rPr>
        <w:t>（1）广告策划的思维方法特点</w:t>
      </w:r>
      <w:r>
        <w:rPr>
          <w:rFonts w:hint="eastAsia" w:ascii="宋体" w:hAnsi="宋体" w:eastAsia="宋体" w:cs="宋体"/>
          <w:color w:val="000000"/>
          <w:kern w:val="0"/>
          <w:sz w:val="21"/>
          <w:szCs w:val="21"/>
        </w:rPr>
        <w:fldChar w:fldCharType="end"/>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（2）广告策划的基本原则</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（3）广告策划的主要工作流程</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（4）广告策划的四大基本工具</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（5）广告目标工具和策略创意工具</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3、考核要求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（1）识记：广告策划的基本原则；广告策划的两大路径；广告调研与分析工具</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（2）领会：</w:t>
      </w:r>
      <w:r>
        <w:rPr>
          <w:rFonts w:hint="eastAsia" w:ascii="宋体" w:hAnsi="宋体" w:eastAsia="宋体" w:cs="宋体"/>
          <w:color w:val="000000"/>
          <w:kern w:val="0"/>
          <w:sz w:val="21"/>
          <w:szCs w:val="21"/>
          <w:lang w:val="en-US" w:eastAsia="zh-CN"/>
        </w:rPr>
        <w:t xml:space="preserve"> </w:t>
      </w:r>
      <w:r>
        <w:rPr>
          <w:rFonts w:hint="eastAsia" w:ascii="宋体" w:hAnsi="宋体" w:eastAsia="宋体" w:cs="宋体"/>
          <w:color w:val="000000"/>
          <w:kern w:val="0"/>
          <w:sz w:val="21"/>
          <w:szCs w:val="21"/>
        </w:rPr>
        <w:t>广告策划的思维方法</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广告策划的工作流程</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广告目标确立工具</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广告策略创意工具</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rPr>
        <w:t>传播与评估工具</w:t>
      </w:r>
    </w:p>
    <w:p>
      <w:pPr>
        <w:keepNext w:val="0"/>
        <w:keepLines w:val="0"/>
        <w:pageBreakBefore w:val="0"/>
        <w:widowControl/>
        <w:shd w:val="clear" w:color="auto" w:fill="FFFFFF"/>
        <w:kinsoku/>
        <w:wordWrap/>
        <w:overflowPunct/>
        <w:topLinePunct w:val="0"/>
        <w:autoSpaceDE/>
        <w:autoSpaceDN/>
        <w:bidi w:val="0"/>
        <w:adjustRightInd/>
        <w:snapToGrid/>
        <w:spacing w:line="400" w:lineRule="exact"/>
        <w:jc w:val="center"/>
        <w:textAlignment w:val="auto"/>
        <w:rPr>
          <w:rFonts w:ascii="微软雅黑" w:hAnsi="微软雅黑" w:eastAsia="微软雅黑" w:cs="宋体"/>
          <w:color w:val="000000"/>
          <w:kern w:val="0"/>
          <w:sz w:val="18"/>
          <w:szCs w:val="18"/>
        </w:rPr>
      </w:pPr>
      <w:r>
        <w:rPr>
          <w:rFonts w:hint="eastAsia" w:ascii="Times New Roman" w:hAnsi="Times New Roman" w:eastAsia="微软雅黑" w:cs="Times New Roman"/>
          <w:color w:val="000000"/>
          <w:kern w:val="0"/>
          <w:sz w:val="28"/>
          <w:szCs w:val="28"/>
        </w:rPr>
        <w:t> </w:t>
      </w:r>
    </w:p>
    <w:p>
      <w:pPr>
        <w:keepNext w:val="0"/>
        <w:keepLines w:val="0"/>
        <w:pageBreakBefore w:val="0"/>
        <w:widowControl/>
        <w:shd w:val="clear" w:color="auto" w:fill="FFFFFF"/>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第三章</w:t>
      </w:r>
      <w:r>
        <w:rPr>
          <w:rFonts w:hint="eastAsia" w:ascii="宋体" w:hAnsi="宋体" w:eastAsia="宋体" w:cs="宋体"/>
          <w:b/>
          <w:bCs/>
          <w:color w:val="000000"/>
          <w:kern w:val="0"/>
          <w:sz w:val="24"/>
          <w:szCs w:val="24"/>
          <w:lang w:val="en-US" w:eastAsia="zh-CN"/>
        </w:rPr>
        <w:t xml:space="preserve">  </w:t>
      </w:r>
      <w:r>
        <w:rPr>
          <w:rFonts w:hint="eastAsia" w:ascii="宋体" w:hAnsi="宋体" w:eastAsia="宋体" w:cs="宋体"/>
          <w:b/>
          <w:bCs/>
          <w:color w:val="000000"/>
          <w:kern w:val="0"/>
          <w:sz w:val="24"/>
          <w:szCs w:val="24"/>
        </w:rPr>
        <w:t>市场环境与个性消费行为</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b/>
          <w:bCs/>
          <w:color w:val="000000"/>
          <w:kern w:val="0"/>
          <w:sz w:val="21"/>
          <w:szCs w:val="21"/>
          <w:lang w:val="en-US" w:eastAsia="zh-CN"/>
        </w:rPr>
        <w:t>1、</w:t>
      </w:r>
      <w:r>
        <w:rPr>
          <w:rFonts w:hint="eastAsia" w:ascii="宋体" w:hAnsi="宋体" w:eastAsia="宋体" w:cs="宋体"/>
          <w:b/>
          <w:bCs/>
          <w:color w:val="000000"/>
          <w:kern w:val="0"/>
          <w:sz w:val="21"/>
          <w:szCs w:val="21"/>
        </w:rPr>
        <w:t>学习目的和要求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通过本章学习，要求掌握市场环境与市场动力；消费行为的变化动因；个性消费时代的市场等相关知识。</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2、考核知识点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（1）市场环境变化的几大特点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（2）市场角色构成及市场动力所在</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（3）消费者行为变化的主要动因</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（4）市场细分理论与细分方法</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（5）差异化营销与个性化消费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3、考核要求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（1）识记：市场细分概念；市场细分的基本方法；个性化消费的基本特征</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（2）领会：由制造商驱动的无反馈式市场</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由中间商驱动的部分反馈市场</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由消费者驱动的信息交互市场</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非人际因素对消费行为的影响</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差异化营销中的类同质化</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个性化消费的对应方式</w:t>
      </w:r>
    </w:p>
    <w:p>
      <w:pPr>
        <w:keepNext w:val="0"/>
        <w:keepLines w:val="0"/>
        <w:pageBreakBefore w:val="0"/>
        <w:widowControl/>
        <w:shd w:val="clear" w:color="auto" w:fill="FFFFFF"/>
        <w:kinsoku/>
        <w:wordWrap/>
        <w:overflowPunct/>
        <w:topLinePunct w:val="0"/>
        <w:autoSpaceDE/>
        <w:autoSpaceDN/>
        <w:bidi w:val="0"/>
        <w:adjustRightInd/>
        <w:snapToGrid/>
        <w:spacing w:line="400" w:lineRule="exact"/>
        <w:jc w:val="left"/>
        <w:textAlignment w:val="auto"/>
        <w:rPr>
          <w:rFonts w:ascii="微软雅黑" w:hAnsi="微软雅黑" w:eastAsia="微软雅黑" w:cs="宋体"/>
          <w:color w:val="000000"/>
          <w:kern w:val="0"/>
          <w:sz w:val="18"/>
          <w:szCs w:val="18"/>
        </w:rPr>
      </w:pPr>
      <w:r>
        <w:rPr>
          <w:rFonts w:hint="eastAsia" w:ascii="Times New Roman" w:hAnsi="Times New Roman" w:eastAsia="微软雅黑" w:cs="Times New Roman"/>
          <w:color w:val="000000"/>
          <w:kern w:val="0"/>
          <w:sz w:val="24"/>
          <w:szCs w:val="24"/>
        </w:rPr>
        <w:t> </w:t>
      </w:r>
    </w:p>
    <w:p>
      <w:pPr>
        <w:keepNext w:val="0"/>
        <w:keepLines w:val="0"/>
        <w:pageBreakBefore w:val="0"/>
        <w:widowControl/>
        <w:shd w:val="clear" w:color="auto" w:fill="FFFFFF"/>
        <w:kinsoku/>
        <w:wordWrap/>
        <w:overflowPunct/>
        <w:topLinePunct w:val="0"/>
        <w:autoSpaceDE/>
        <w:autoSpaceDN/>
        <w:bidi w:val="0"/>
        <w:adjustRightInd/>
        <w:snapToGrid/>
        <w:spacing w:line="400" w:lineRule="exact"/>
        <w:jc w:val="center"/>
        <w:textAlignment w:val="auto"/>
        <w:rPr>
          <w:rFonts w:ascii="微软雅黑" w:hAnsi="微软雅黑" w:eastAsia="微软雅黑" w:cs="宋体"/>
          <w:b/>
          <w:bCs/>
          <w:color w:val="000000"/>
          <w:kern w:val="0"/>
          <w:sz w:val="18"/>
          <w:szCs w:val="18"/>
        </w:rPr>
      </w:pPr>
      <w:r>
        <w:rPr>
          <w:rFonts w:hint="eastAsia" w:ascii="宋体" w:hAnsi="宋体" w:eastAsia="宋体" w:cs="宋体"/>
          <w:b/>
          <w:bCs/>
          <w:color w:val="000000"/>
          <w:kern w:val="0"/>
          <w:sz w:val="24"/>
          <w:szCs w:val="24"/>
        </w:rPr>
        <w:t>第四章 媒体裂变与新媒体的介入</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1、学习目的和要求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通过本章的学习，要求掌握媒体概念与媒体形态；从传统媒体到新媒体；新媒体变革广告观念。</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2、考核知识点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（1）媒体的概念及基本形态</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（2）传统广告媒介的三大分类</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（3）新媒体以及广告的互动性</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（4）新媒体对传统广告观念的考验</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（5）广告策划中的三重新的认知</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3、考核要求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（1）识记：广告媒介；媒体多元化的基本形态；印刷媒介及其广告；电波媒介及其广告；户外及分众媒体广告；新媒体及其互动广告</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（2）领会：广告传播中的媒体边际效应</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对传统广告策划创意理论的反思</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重新认识广告的媒体形态</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重新认识广告的创意形式</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重新认识广告与受众的关系</w:t>
      </w:r>
    </w:p>
    <w:p>
      <w:pPr>
        <w:keepNext w:val="0"/>
        <w:keepLines w:val="0"/>
        <w:pageBreakBefore w:val="0"/>
        <w:widowControl/>
        <w:shd w:val="clear" w:color="auto" w:fill="FFFFFF"/>
        <w:kinsoku/>
        <w:wordWrap/>
        <w:overflowPunct/>
        <w:topLinePunct w:val="0"/>
        <w:autoSpaceDE/>
        <w:autoSpaceDN/>
        <w:bidi w:val="0"/>
        <w:adjustRightInd/>
        <w:snapToGrid/>
        <w:spacing w:line="400" w:lineRule="exact"/>
        <w:jc w:val="left"/>
        <w:textAlignment w:val="auto"/>
        <w:rPr>
          <w:rFonts w:ascii="微软雅黑" w:hAnsi="微软雅黑" w:eastAsia="微软雅黑" w:cs="宋体"/>
          <w:color w:val="000000"/>
          <w:kern w:val="0"/>
          <w:sz w:val="18"/>
          <w:szCs w:val="18"/>
        </w:rPr>
      </w:pPr>
      <w:r>
        <w:rPr>
          <w:rFonts w:hint="eastAsia" w:ascii="Times New Roman" w:hAnsi="Times New Roman" w:eastAsia="微软雅黑" w:cs="Times New Roman"/>
          <w:color w:val="000000"/>
          <w:kern w:val="0"/>
          <w:sz w:val="24"/>
          <w:szCs w:val="24"/>
        </w:rPr>
        <w:t> </w:t>
      </w:r>
    </w:p>
    <w:p>
      <w:pPr>
        <w:keepNext w:val="0"/>
        <w:keepLines w:val="0"/>
        <w:pageBreakBefore w:val="0"/>
        <w:widowControl/>
        <w:shd w:val="clear" w:color="auto" w:fill="FFFFFF"/>
        <w:kinsoku/>
        <w:wordWrap/>
        <w:overflowPunct/>
        <w:topLinePunct w:val="0"/>
        <w:autoSpaceDE/>
        <w:autoSpaceDN/>
        <w:bidi w:val="0"/>
        <w:adjustRightInd/>
        <w:snapToGrid/>
        <w:spacing w:line="400" w:lineRule="exact"/>
        <w:jc w:val="center"/>
        <w:textAlignment w:val="auto"/>
        <w:rPr>
          <w:rFonts w:ascii="微软雅黑" w:hAnsi="微软雅黑" w:eastAsia="微软雅黑" w:cs="宋体"/>
          <w:color w:val="000000"/>
          <w:kern w:val="0"/>
          <w:sz w:val="18"/>
          <w:szCs w:val="18"/>
        </w:rPr>
      </w:pPr>
      <w:r>
        <w:rPr>
          <w:rFonts w:hint="eastAsia" w:ascii="宋体" w:hAnsi="宋体" w:eastAsia="宋体" w:cs="宋体"/>
          <w:b/>
          <w:bCs/>
          <w:color w:val="000000"/>
          <w:kern w:val="0"/>
          <w:sz w:val="24"/>
          <w:szCs w:val="24"/>
        </w:rPr>
        <w:t>第五章 新媒体的基本类型与特征</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1、学习目的与要求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rPr>
        <w:t>通过本章的学习，要求掌握新媒体概念及其界定；新媒体的分类与特征；广告中的新媒体应用等相关知识</w:t>
      </w:r>
      <w:r>
        <w:rPr>
          <w:rFonts w:hint="eastAsia" w:ascii="宋体" w:hAnsi="宋体" w:eastAsia="宋体" w:cs="宋体"/>
          <w:color w:val="000000"/>
          <w:kern w:val="0"/>
          <w:sz w:val="21"/>
          <w:szCs w:val="21"/>
          <w:lang w:eastAsia="zh-CN"/>
        </w:rPr>
        <w:t>。</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b/>
          <w:bCs/>
          <w:color w:val="000000"/>
          <w:kern w:val="0"/>
          <w:sz w:val="21"/>
          <w:szCs w:val="21"/>
        </w:rPr>
        <w:t>2、考核知识点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（1）如何全面认识和认同新媒体</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（2）新媒体的技术内涵和现实包容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（3）网络广告媒体的基本形态与特点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（4）手机终端与移动互联的媒体特征</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（5）网络技术对媒体广告有什么深化</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3、考核要求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（1）识记：电子菜谱新媒体；户外新媒体；移动新媒体；手机新媒体；网络新媒体</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（2）领会：互联网广告媒体形态</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手机终端与移动互联网</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网络技术对媒体广告的深化</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网络长尾对帕累托定律的颠覆</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359"/>
        <w:jc w:val="left"/>
        <w:textAlignment w:val="auto"/>
        <w:rPr>
          <w:rFonts w:ascii="宋体" w:hAnsi="微软雅黑" w:eastAsia="宋体" w:cs="宋体"/>
          <w:color w:val="000000"/>
          <w:kern w:val="0"/>
          <w:sz w:val="24"/>
          <w:szCs w:val="24"/>
        </w:rPr>
      </w:pPr>
      <w:r>
        <w:rPr>
          <w:rFonts w:hint="eastAsia" w:ascii="宋体" w:hAnsi="Times New Roman" w:eastAsia="宋体" w:cs="Times New Roman"/>
          <w:color w:val="000000"/>
          <w:kern w:val="0"/>
          <w:sz w:val="24"/>
          <w:szCs w:val="24"/>
        </w:rPr>
        <w:t> </w:t>
      </w:r>
    </w:p>
    <w:p>
      <w:pPr>
        <w:keepNext w:val="0"/>
        <w:keepLines w:val="0"/>
        <w:pageBreakBefore w:val="0"/>
        <w:widowControl/>
        <w:shd w:val="clear" w:color="auto" w:fill="FFFFFF"/>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第六章 以品牌观念引导广告策划</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1、学习目的与要求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通过本章的学习，要求掌握广告传统与品牌观念；促销广告与品牌广告；广告策划的品牌意识等相关知识。</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2、考核知识点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（1）广告的销售观念与品牌观念</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（2）品牌理论发展的主要特征</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（3）促销广告与品牌广告的异同</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（4）营销传播中促销与品牌的统一</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（5）广告策划如何实施品牌定位</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3、考核要求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（1）识记：广告传统；促销广告；品牌广告；营销传播</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（2）领会：</w:t>
      </w:r>
      <w:r>
        <w:rPr>
          <w:rFonts w:hint="eastAsia" w:ascii="宋体" w:hAnsi="宋体" w:eastAsia="宋体" w:cs="宋体"/>
          <w:color w:val="000000"/>
          <w:kern w:val="0"/>
          <w:sz w:val="21"/>
          <w:szCs w:val="21"/>
          <w:lang w:val="en-US" w:eastAsia="zh-CN"/>
        </w:rPr>
        <w:t xml:space="preserve"> </w:t>
      </w:r>
      <w:r>
        <w:rPr>
          <w:rFonts w:hint="eastAsia" w:ascii="宋体" w:hAnsi="宋体" w:eastAsia="宋体" w:cs="宋体"/>
          <w:color w:val="000000"/>
          <w:kern w:val="0"/>
          <w:sz w:val="21"/>
          <w:szCs w:val="21"/>
        </w:rPr>
        <w:t>广告的销售观念与品牌观念</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品牌价值理论</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品牌整合理论</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品牌价值的营销体现定位观念的品牌内涵</w:t>
      </w:r>
    </w:p>
    <w:p>
      <w:pPr>
        <w:keepNext w:val="0"/>
        <w:keepLines w:val="0"/>
        <w:pageBreakBefore w:val="0"/>
        <w:widowControl/>
        <w:shd w:val="clear" w:color="auto" w:fill="FFFFFF"/>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000000"/>
          <w:kern w:val="0"/>
          <w:sz w:val="24"/>
          <w:szCs w:val="24"/>
        </w:rPr>
      </w:pPr>
    </w:p>
    <w:p>
      <w:pPr>
        <w:keepNext w:val="0"/>
        <w:keepLines w:val="0"/>
        <w:pageBreakBefore w:val="0"/>
        <w:widowControl/>
        <w:shd w:val="clear" w:color="auto" w:fill="FFFFFF"/>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第七章 用创意营销引导广告创意</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b/>
          <w:bCs/>
          <w:color w:val="000000"/>
          <w:kern w:val="0"/>
          <w:sz w:val="21"/>
          <w:szCs w:val="21"/>
          <w:lang w:val="en-US" w:eastAsia="zh-CN"/>
        </w:rPr>
        <w:t>1、</w:t>
      </w:r>
      <w:r>
        <w:rPr>
          <w:rFonts w:hint="eastAsia" w:ascii="宋体" w:hAnsi="宋体" w:eastAsia="宋体" w:cs="宋体"/>
          <w:b/>
          <w:bCs/>
          <w:color w:val="000000"/>
          <w:kern w:val="0"/>
          <w:sz w:val="21"/>
          <w:szCs w:val="21"/>
        </w:rPr>
        <w:t>学习目的与要求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通过本章的学习，要求掌握创新思维与创意营销；创意营销的价值维度；创意营销的策划方法。</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b/>
          <w:bCs/>
          <w:color w:val="000000"/>
          <w:kern w:val="0"/>
          <w:sz w:val="21"/>
          <w:szCs w:val="21"/>
        </w:rPr>
        <w:t>2、考核知识点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（1）创意营销的概念与内涵</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（2）创新思维与创意营销的关系</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（3）创意营销的三大表现特征</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（4）创意营销策划中的环境适应</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（5）广告策划中的整合效应与创意拓展</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b/>
          <w:bCs/>
          <w:color w:val="000000"/>
          <w:kern w:val="0"/>
          <w:sz w:val="21"/>
          <w:szCs w:val="21"/>
        </w:rPr>
      </w:pPr>
      <w:r>
        <w:rPr>
          <w:rFonts w:hint="eastAsia" w:ascii="Times New Roman" w:hAnsi="Times New Roman" w:eastAsia="微软雅黑" w:cs="Times New Roman"/>
          <w:color w:val="000000"/>
          <w:kern w:val="0"/>
          <w:sz w:val="24"/>
          <w:szCs w:val="24"/>
        </w:rPr>
        <w:t>  </w:t>
      </w:r>
      <w:r>
        <w:rPr>
          <w:rFonts w:hint="eastAsia" w:ascii="Times New Roman" w:hAnsi="Times New Roman" w:eastAsia="微软雅黑" w:cs="Times New Roman"/>
          <w:b/>
          <w:bCs/>
          <w:color w:val="000000"/>
          <w:kern w:val="0"/>
          <w:sz w:val="24"/>
          <w:szCs w:val="24"/>
        </w:rPr>
        <w:t> </w:t>
      </w:r>
      <w:r>
        <w:rPr>
          <w:rFonts w:hint="eastAsia" w:ascii="宋体" w:hAnsi="宋体" w:eastAsia="宋体" w:cs="宋体"/>
          <w:b/>
          <w:bCs/>
          <w:color w:val="000000"/>
          <w:kern w:val="0"/>
          <w:sz w:val="21"/>
          <w:szCs w:val="21"/>
        </w:rPr>
        <w:t>3、考核要求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（1）识记：创意营销；媒体融合；创新思维的两个新视角； 创意营销的表现特征</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（2）领会：</w:t>
      </w:r>
      <w:r>
        <w:rPr>
          <w:rFonts w:hint="eastAsia" w:ascii="宋体" w:hAnsi="宋体" w:eastAsia="宋体" w:cs="宋体"/>
          <w:color w:val="000000"/>
          <w:kern w:val="0"/>
          <w:sz w:val="21"/>
          <w:szCs w:val="21"/>
          <w:lang w:val="en-US" w:eastAsia="zh-CN"/>
        </w:rPr>
        <w:t xml:space="preserve"> </w:t>
      </w:r>
      <w:r>
        <w:rPr>
          <w:rFonts w:hint="eastAsia" w:ascii="宋体" w:hAnsi="宋体" w:eastAsia="宋体" w:cs="宋体"/>
          <w:color w:val="000000"/>
          <w:kern w:val="0"/>
          <w:sz w:val="21"/>
          <w:szCs w:val="21"/>
        </w:rPr>
        <w:t>媒体融合视角与传播创新</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互联网思维与观念创新</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创意营销的价值维度</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创意营销的策划方法</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（3）应用：</w:t>
      </w:r>
      <w:r>
        <w:rPr>
          <w:rFonts w:hint="eastAsia" w:ascii="宋体" w:hAnsi="宋体" w:eastAsia="宋体" w:cs="宋体"/>
          <w:color w:val="000000"/>
          <w:kern w:val="0"/>
          <w:sz w:val="21"/>
          <w:szCs w:val="21"/>
          <w:lang w:val="en-US" w:eastAsia="zh-CN"/>
        </w:rPr>
        <w:t xml:space="preserve"> </w:t>
      </w:r>
      <w:r>
        <w:rPr>
          <w:rFonts w:hint="eastAsia" w:ascii="宋体" w:hAnsi="宋体" w:eastAsia="宋体" w:cs="宋体"/>
          <w:color w:val="000000"/>
          <w:kern w:val="0"/>
          <w:sz w:val="21"/>
          <w:szCs w:val="21"/>
        </w:rPr>
        <w:t>网络新媒体形态中的创意追求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营销与传播统一的整合策划</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359"/>
        <w:jc w:val="left"/>
        <w:textAlignment w:val="auto"/>
        <w:rPr>
          <w:rFonts w:ascii="微软雅黑" w:hAnsi="微软雅黑" w:eastAsia="微软雅黑" w:cs="宋体"/>
          <w:color w:val="000000"/>
          <w:kern w:val="0"/>
          <w:sz w:val="18"/>
          <w:szCs w:val="18"/>
        </w:rPr>
      </w:pPr>
      <w:r>
        <w:rPr>
          <w:rFonts w:hint="eastAsia" w:ascii="Times New Roman" w:hAnsi="Times New Roman" w:eastAsia="微软雅黑" w:cs="Times New Roman"/>
          <w:color w:val="000000"/>
          <w:kern w:val="0"/>
          <w:sz w:val="24"/>
          <w:szCs w:val="24"/>
        </w:rPr>
        <w:t> </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79"/>
        <w:jc w:val="center"/>
        <w:textAlignment w:val="auto"/>
        <w:rPr>
          <w:rFonts w:ascii="微软雅黑" w:hAnsi="微软雅黑" w:eastAsia="微软雅黑" w:cs="宋体"/>
          <w:color w:val="000000"/>
          <w:kern w:val="0"/>
          <w:sz w:val="18"/>
          <w:szCs w:val="18"/>
        </w:rPr>
      </w:pPr>
      <w:r>
        <w:rPr>
          <w:rFonts w:hint="eastAsia" w:ascii="宋体" w:hAnsi="宋体" w:eastAsia="宋体" w:cs="宋体"/>
          <w:b/>
          <w:bCs/>
          <w:color w:val="000000"/>
          <w:kern w:val="0"/>
          <w:sz w:val="24"/>
          <w:szCs w:val="24"/>
        </w:rPr>
        <w:t>第八章 大数据思维及数据化营销</w:t>
      </w:r>
    </w:p>
    <w:p>
      <w:pPr>
        <w:keepNext w:val="0"/>
        <w:keepLines w:val="0"/>
        <w:pageBreakBefore w:val="0"/>
        <w:widowControl/>
        <w:numPr>
          <w:ilvl w:val="0"/>
          <w:numId w:val="1"/>
        </w:numPr>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学习目的与要求</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通过本章的学习，要求理解大数据时代的广告；掌握广告营销的数据应用；学会大数据思维营销策划。</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b/>
          <w:bCs/>
          <w:color w:val="000000"/>
          <w:kern w:val="0"/>
          <w:sz w:val="21"/>
          <w:szCs w:val="21"/>
        </w:rPr>
        <w:t>2、考核知识点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（1）大数据的概念和特点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（2）大数据对传统广告带来的改变</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（3）大数据营销的主要特征</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（4）大数据营销的实现过程</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（5）大数据营销的八大切入点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3、考核要求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（1）识记：大数据的概念；大数据的4V特点；大数据的应用价值</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（2）领会：</w:t>
      </w:r>
      <w:r>
        <w:rPr>
          <w:rFonts w:hint="eastAsia" w:ascii="宋体" w:hAnsi="宋体" w:eastAsia="宋体" w:cs="宋体"/>
          <w:color w:val="000000"/>
          <w:kern w:val="0"/>
          <w:sz w:val="21"/>
          <w:szCs w:val="21"/>
          <w:lang w:val="en-US" w:eastAsia="zh-CN"/>
        </w:rPr>
        <w:t xml:space="preserve"> </w:t>
      </w:r>
      <w:r>
        <w:rPr>
          <w:rFonts w:hint="eastAsia" w:ascii="宋体" w:hAnsi="宋体" w:eastAsia="宋体" w:cs="宋体"/>
          <w:color w:val="000000"/>
          <w:kern w:val="0"/>
          <w:sz w:val="21"/>
          <w:szCs w:val="21"/>
        </w:rPr>
        <w:t>大数据对传统广告的改变</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大数据营销的特点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大数据营销的实现过程</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大数据营销的数据挖掘</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（3）应用：</w:t>
      </w:r>
      <w:r>
        <w:rPr>
          <w:rFonts w:hint="eastAsia" w:ascii="宋体" w:hAnsi="宋体" w:eastAsia="宋体" w:cs="宋体"/>
          <w:color w:val="000000"/>
          <w:kern w:val="0"/>
          <w:sz w:val="21"/>
          <w:szCs w:val="21"/>
          <w:lang w:val="en-US" w:eastAsia="zh-CN"/>
        </w:rPr>
        <w:t xml:space="preserve"> </w:t>
      </w:r>
      <w:r>
        <w:rPr>
          <w:rFonts w:hint="eastAsia" w:ascii="宋体" w:hAnsi="宋体" w:eastAsia="宋体" w:cs="宋体"/>
          <w:color w:val="000000"/>
          <w:kern w:val="0"/>
          <w:sz w:val="21"/>
          <w:szCs w:val="21"/>
        </w:rPr>
        <w:t>目标客户的行为与特征分析</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为精准营销提供准确的数据支撑</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引导产品及营销活动投用户所好</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竞争对手监测与品牌传播决策</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品牌危机监测及管理支持</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大数据帮助改善用户体验</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社会化客户关系管理中的客户分级管理支持</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发现新市场与新趋势</w:t>
      </w:r>
    </w:p>
    <w:p>
      <w:pPr>
        <w:keepNext w:val="0"/>
        <w:keepLines w:val="0"/>
        <w:pageBreakBefore w:val="0"/>
        <w:widowControl/>
        <w:shd w:val="clear" w:color="auto" w:fill="FFFFFF"/>
        <w:kinsoku/>
        <w:wordWrap/>
        <w:overflowPunct/>
        <w:topLinePunct w:val="0"/>
        <w:autoSpaceDE/>
        <w:autoSpaceDN/>
        <w:bidi w:val="0"/>
        <w:adjustRightInd/>
        <w:snapToGrid/>
        <w:spacing w:line="400" w:lineRule="exact"/>
        <w:jc w:val="left"/>
        <w:textAlignment w:val="auto"/>
        <w:rPr>
          <w:rFonts w:ascii="微软雅黑" w:hAnsi="微软雅黑" w:eastAsia="微软雅黑" w:cs="宋体"/>
          <w:color w:val="000000"/>
          <w:kern w:val="0"/>
          <w:sz w:val="18"/>
          <w:szCs w:val="18"/>
        </w:rPr>
      </w:pPr>
      <w:r>
        <w:rPr>
          <w:rFonts w:hint="eastAsia" w:ascii="Times New Roman" w:hAnsi="Times New Roman" w:eastAsia="微软雅黑" w:cs="Times New Roman"/>
          <w:color w:val="000000"/>
          <w:kern w:val="0"/>
          <w:sz w:val="24"/>
          <w:szCs w:val="24"/>
        </w:rPr>
        <w:t> </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79"/>
        <w:jc w:val="center"/>
        <w:textAlignment w:val="auto"/>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第九章 环境新媒体中的体验营销</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1、学习目的与要求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通过本章的学习，要求掌握环境新媒体基本形态；环境新媒体应用策略；环境新媒体案例体验。</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b/>
          <w:bCs/>
          <w:color w:val="000000"/>
          <w:kern w:val="0"/>
          <w:sz w:val="21"/>
          <w:szCs w:val="21"/>
        </w:rPr>
        <w:t>2、考核知识点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（1）环境新媒体的概念与特点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（2）环境新媒体的文化和商业传播价值</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（3）环境新媒体的创新要素</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（4）环境新媒体的应用策略</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（5）广告与环境新媒体的结合形态</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3、考核要求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（1）识记：环境媒体；环境新媒体；环境新媒体的特点；环境新媒体的传播价值</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（2）领会：</w:t>
      </w:r>
      <w:r>
        <w:rPr>
          <w:rFonts w:hint="eastAsia" w:ascii="宋体" w:hAnsi="宋体" w:eastAsia="宋体" w:cs="宋体"/>
          <w:color w:val="000000"/>
          <w:kern w:val="0"/>
          <w:sz w:val="21"/>
          <w:szCs w:val="21"/>
          <w:lang w:val="en-US" w:eastAsia="zh-CN"/>
        </w:rPr>
        <w:t xml:space="preserve"> </w:t>
      </w:r>
      <w:r>
        <w:rPr>
          <w:rFonts w:hint="eastAsia" w:ascii="宋体" w:hAnsi="宋体" w:eastAsia="宋体" w:cs="宋体"/>
          <w:color w:val="000000"/>
          <w:kern w:val="0"/>
          <w:sz w:val="21"/>
          <w:szCs w:val="21"/>
        </w:rPr>
        <w:t>环境新媒体广告的创新要素</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环境新媒体的应用策略</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发掘新空间</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常见载体的独特表达</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时空组合创新性运用</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广告人的行为艺术</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（3）应用：</w:t>
      </w:r>
      <w:r>
        <w:rPr>
          <w:rFonts w:hint="eastAsia" w:ascii="宋体" w:hAnsi="宋体" w:eastAsia="宋体" w:cs="宋体"/>
          <w:color w:val="000000"/>
          <w:kern w:val="0"/>
          <w:sz w:val="21"/>
          <w:szCs w:val="21"/>
          <w:lang w:val="en-US" w:eastAsia="zh-CN"/>
        </w:rPr>
        <w:t xml:space="preserve"> </w:t>
      </w:r>
      <w:r>
        <w:rPr>
          <w:rFonts w:hint="eastAsia" w:ascii="宋体" w:hAnsi="宋体" w:eastAsia="宋体" w:cs="宋体"/>
          <w:color w:val="000000"/>
          <w:kern w:val="0"/>
          <w:sz w:val="21"/>
          <w:szCs w:val="21"/>
        </w:rPr>
        <w:t>公共空间环境新媒体</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交通工具环境新媒体</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生活空间环境新媒体</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ascii="微软雅黑" w:hAnsi="微软雅黑" w:eastAsia="微软雅黑" w:cs="宋体"/>
          <w:color w:val="000000"/>
          <w:kern w:val="0"/>
          <w:sz w:val="18"/>
          <w:szCs w:val="18"/>
        </w:rPr>
      </w:pPr>
      <w:r>
        <w:rPr>
          <w:rFonts w:hint="eastAsia" w:ascii="宋体" w:hAnsi="宋体" w:eastAsia="宋体" w:cs="宋体"/>
          <w:color w:val="000000"/>
          <w:kern w:val="0"/>
          <w:sz w:val="21"/>
          <w:szCs w:val="21"/>
        </w:rPr>
        <w:t>公共道具环境新媒体</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359"/>
        <w:jc w:val="left"/>
        <w:textAlignment w:val="auto"/>
        <w:rPr>
          <w:rFonts w:ascii="微软雅黑" w:hAnsi="微软雅黑" w:eastAsia="微软雅黑" w:cs="宋体"/>
          <w:color w:val="000000"/>
          <w:kern w:val="0"/>
          <w:sz w:val="18"/>
          <w:szCs w:val="18"/>
        </w:rPr>
      </w:pPr>
      <w:r>
        <w:rPr>
          <w:rFonts w:hint="eastAsia" w:ascii="Times New Roman" w:hAnsi="Times New Roman" w:eastAsia="微软雅黑" w:cs="Times New Roman"/>
          <w:color w:val="000000"/>
          <w:kern w:val="0"/>
          <w:sz w:val="24"/>
          <w:szCs w:val="24"/>
        </w:rPr>
        <w:t> </w:t>
      </w:r>
    </w:p>
    <w:p>
      <w:pPr>
        <w:keepNext w:val="0"/>
        <w:keepLines w:val="0"/>
        <w:pageBreakBefore w:val="0"/>
        <w:widowControl/>
        <w:shd w:val="clear" w:color="auto" w:fill="FFFFFF"/>
        <w:kinsoku/>
        <w:wordWrap/>
        <w:overflowPunct/>
        <w:topLinePunct w:val="0"/>
        <w:autoSpaceDE/>
        <w:autoSpaceDN/>
        <w:bidi w:val="0"/>
        <w:adjustRightInd/>
        <w:snapToGrid/>
        <w:spacing w:line="400" w:lineRule="exact"/>
        <w:jc w:val="center"/>
        <w:textAlignment w:val="auto"/>
        <w:rPr>
          <w:rFonts w:ascii="微软雅黑" w:hAnsi="微软雅黑" w:eastAsia="微软雅黑" w:cs="宋体"/>
          <w:color w:val="000000"/>
          <w:kern w:val="0"/>
          <w:sz w:val="18"/>
          <w:szCs w:val="18"/>
        </w:rPr>
      </w:pPr>
      <w:r>
        <w:rPr>
          <w:rFonts w:hint="eastAsia" w:ascii="宋体" w:hAnsi="宋体" w:eastAsia="宋体" w:cs="宋体"/>
          <w:b/>
          <w:bCs/>
          <w:color w:val="000000"/>
          <w:kern w:val="0"/>
          <w:sz w:val="24"/>
          <w:szCs w:val="24"/>
        </w:rPr>
        <w:t>第十章</w:t>
      </w:r>
      <w:r>
        <w:rPr>
          <w:rFonts w:hint="eastAsia" w:ascii="宋体" w:hAnsi="宋体" w:eastAsia="宋体" w:cs="宋体"/>
          <w:b/>
          <w:bCs/>
          <w:color w:val="000000"/>
          <w:kern w:val="0"/>
          <w:sz w:val="24"/>
          <w:szCs w:val="24"/>
          <w:lang w:val="en-US" w:eastAsia="zh-CN"/>
        </w:rPr>
        <w:t xml:space="preserve">  </w:t>
      </w:r>
      <w:r>
        <w:rPr>
          <w:rFonts w:hint="eastAsia" w:ascii="宋体" w:hAnsi="宋体" w:eastAsia="宋体" w:cs="宋体"/>
          <w:b/>
          <w:bCs/>
          <w:color w:val="000000"/>
          <w:kern w:val="0"/>
          <w:sz w:val="24"/>
          <w:szCs w:val="24"/>
        </w:rPr>
        <w:t>网络传播与互动广告策略</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1、学习目的和要求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通过本章的学习，要求掌握网络传播的基本特点，熟悉网络广告的主要特征，了解网络广告的策划创意。</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2、考核知识点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（1）网络传播的概念与特点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（2）网络广告的优势与局限</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（3）当代网络广告对互动的需求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（4）网络广告的常见形态</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（5）网络广告的创意策略</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10"/>
        <w:jc w:val="left"/>
        <w:textAlignment w:val="auto"/>
        <w:rPr>
          <w:rFonts w:hint="eastAsia" w:ascii="黑体" w:hAnsi="黑体" w:eastAsia="黑体" w:cs="宋体"/>
          <w:color w:val="000000"/>
          <w:kern w:val="0"/>
          <w:sz w:val="24"/>
          <w:szCs w:val="24"/>
        </w:rPr>
      </w:pPr>
      <w:r>
        <w:rPr>
          <w:rFonts w:hint="eastAsia" w:ascii="Times New Roman" w:hAnsi="Times New Roman" w:eastAsia="微软雅黑" w:cs="Times New Roman"/>
          <w:color w:val="000000"/>
          <w:kern w:val="0"/>
          <w:sz w:val="24"/>
          <w:szCs w:val="24"/>
        </w:rPr>
        <w:t>3、</w:t>
      </w:r>
      <w:r>
        <w:rPr>
          <w:rFonts w:hint="eastAsia" w:ascii="黑体" w:hAnsi="黑体" w:eastAsia="黑体" w:cs="宋体"/>
          <w:color w:val="000000"/>
          <w:kern w:val="0"/>
          <w:sz w:val="24"/>
          <w:szCs w:val="24"/>
        </w:rPr>
        <w:t>考核要求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1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（1）识记：网络传播的基本特征；门户网站；商业网站；专业网站；娱乐网站；社交网站；网络广告的定义；网络广告的常见形态</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（2）领会：</w:t>
      </w:r>
      <w:r>
        <w:rPr>
          <w:rFonts w:hint="eastAsia" w:ascii="宋体" w:hAnsi="宋体" w:eastAsia="宋体" w:cs="宋体"/>
          <w:color w:val="000000"/>
          <w:kern w:val="0"/>
          <w:sz w:val="21"/>
          <w:szCs w:val="21"/>
          <w:lang w:val="en-US" w:eastAsia="zh-CN"/>
        </w:rPr>
        <w:t xml:space="preserve"> </w:t>
      </w:r>
      <w:r>
        <w:rPr>
          <w:rFonts w:hint="eastAsia" w:ascii="宋体" w:hAnsi="宋体" w:eastAsia="宋体" w:cs="宋体"/>
          <w:color w:val="000000"/>
          <w:kern w:val="0"/>
          <w:sz w:val="21"/>
          <w:szCs w:val="21"/>
        </w:rPr>
        <w:t>网络广告与互动广告</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网络广告传播的优点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网络广告传播的局限性</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网络广告创意的特殊要求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网络广告的创意原则</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（3）应用：</w:t>
      </w:r>
      <w:r>
        <w:rPr>
          <w:rFonts w:hint="eastAsia" w:ascii="宋体" w:hAnsi="宋体" w:eastAsia="宋体" w:cs="宋体"/>
          <w:color w:val="000000"/>
          <w:kern w:val="0"/>
          <w:sz w:val="21"/>
          <w:szCs w:val="21"/>
          <w:lang w:val="en-US" w:eastAsia="zh-CN"/>
        </w:rPr>
        <w:t xml:space="preserve"> </w:t>
      </w:r>
      <w:r>
        <w:rPr>
          <w:rFonts w:hint="eastAsia" w:ascii="宋体" w:hAnsi="宋体" w:eastAsia="宋体" w:cs="宋体"/>
          <w:color w:val="000000"/>
          <w:kern w:val="0"/>
          <w:sz w:val="21"/>
          <w:szCs w:val="21"/>
        </w:rPr>
        <w:t>网络广告的创意策略</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有吸引力的广告标题</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简洁明确的广告信息</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强化互动性与受众体验</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综合安排网络广告发布的时间</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合理确定网络广告费用预算</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确定网络广告的监测方案</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359"/>
        <w:jc w:val="left"/>
        <w:textAlignment w:val="auto"/>
        <w:rPr>
          <w:rFonts w:ascii="微软雅黑" w:hAnsi="微软雅黑" w:eastAsia="微软雅黑" w:cs="宋体"/>
          <w:color w:val="000000"/>
          <w:kern w:val="0"/>
          <w:sz w:val="18"/>
          <w:szCs w:val="18"/>
        </w:rPr>
      </w:pPr>
      <w:r>
        <w:rPr>
          <w:rFonts w:hint="eastAsia" w:ascii="Times New Roman" w:hAnsi="Times New Roman" w:eastAsia="微软雅黑" w:cs="Times New Roman"/>
          <w:color w:val="000000"/>
          <w:kern w:val="0"/>
          <w:sz w:val="24"/>
          <w:szCs w:val="24"/>
        </w:rPr>
        <w:t> </w:t>
      </w:r>
    </w:p>
    <w:p>
      <w:pPr>
        <w:keepNext w:val="0"/>
        <w:keepLines w:val="0"/>
        <w:pageBreakBefore w:val="0"/>
        <w:widowControl/>
        <w:shd w:val="clear" w:color="auto" w:fill="FFFFFF"/>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第十一章</w:t>
      </w:r>
      <w:r>
        <w:rPr>
          <w:rFonts w:hint="eastAsia" w:ascii="宋体" w:hAnsi="宋体" w:eastAsia="宋体" w:cs="宋体"/>
          <w:b/>
          <w:bCs/>
          <w:color w:val="000000"/>
          <w:kern w:val="0"/>
          <w:sz w:val="24"/>
          <w:szCs w:val="24"/>
          <w:lang w:val="en-US" w:eastAsia="zh-CN"/>
        </w:rPr>
        <w:t xml:space="preserve">  </w:t>
      </w:r>
      <w:r>
        <w:rPr>
          <w:rFonts w:hint="eastAsia" w:ascii="宋体" w:hAnsi="宋体" w:eastAsia="宋体" w:cs="宋体"/>
          <w:b/>
          <w:bCs/>
          <w:color w:val="000000"/>
          <w:kern w:val="0"/>
          <w:sz w:val="24"/>
          <w:szCs w:val="24"/>
        </w:rPr>
        <w:t>接触点与植入式广告策略</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b/>
          <w:bCs/>
          <w:color w:val="000000"/>
          <w:kern w:val="0"/>
          <w:sz w:val="21"/>
          <w:szCs w:val="21"/>
        </w:rPr>
        <w:t>1、学习目的与要求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通过本章的学习，要求了解接触点与接触点管理、接触点与植入式广告，掌握植入式广告策略应用。</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2、考核知识点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（1）接触点传播与品牌接触点管理的差异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（2）品牌接触点的沟通管理之道</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（3）接触点管理背景下植入式广告兴起</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（4）植入式广告的表现形态</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（5）植入式广告的优势与困境</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3、考核要求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（1）识记：接触点；接触点传播；品牌接触点管理；接触点管理中须注意的问题；植入式广告</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（2）领会：</w:t>
      </w:r>
      <w:r>
        <w:rPr>
          <w:rFonts w:hint="eastAsia" w:ascii="宋体" w:hAnsi="宋体" w:eastAsia="宋体" w:cs="宋体"/>
          <w:color w:val="000000"/>
          <w:kern w:val="0"/>
          <w:sz w:val="21"/>
          <w:szCs w:val="21"/>
          <w:lang w:val="en-US" w:eastAsia="zh-CN"/>
        </w:rPr>
        <w:t xml:space="preserve"> </w:t>
      </w:r>
      <w:r>
        <w:rPr>
          <w:rFonts w:hint="eastAsia" w:ascii="宋体" w:hAnsi="宋体" w:eastAsia="宋体" w:cs="宋体"/>
          <w:color w:val="000000"/>
          <w:kern w:val="0"/>
          <w:sz w:val="21"/>
          <w:szCs w:val="21"/>
        </w:rPr>
        <w:t>接触点传播与品牌接触点管理的差异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品牌接触点的沟通管理之道</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植入式广告的发展</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植入式广告兴起的背景</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植入广告的优势与困境</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（3）应用：</w:t>
      </w:r>
      <w:r>
        <w:rPr>
          <w:rFonts w:hint="eastAsia" w:ascii="宋体" w:hAnsi="宋体" w:eastAsia="宋体" w:cs="宋体"/>
          <w:color w:val="000000"/>
          <w:kern w:val="0"/>
          <w:sz w:val="21"/>
          <w:szCs w:val="21"/>
          <w:lang w:val="en-US" w:eastAsia="zh-CN"/>
        </w:rPr>
        <w:t xml:space="preserve"> </w:t>
      </w:r>
      <w:r>
        <w:rPr>
          <w:rFonts w:hint="eastAsia" w:ascii="宋体" w:hAnsi="宋体" w:eastAsia="宋体" w:cs="宋体"/>
          <w:color w:val="000000"/>
          <w:kern w:val="0"/>
          <w:sz w:val="21"/>
          <w:szCs w:val="21"/>
        </w:rPr>
        <w:t>植入式广告策略应用</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植入式广告的分类应用</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植入式广告的操作流程</w:t>
      </w:r>
    </w:p>
    <w:p>
      <w:pPr>
        <w:keepNext w:val="0"/>
        <w:keepLines w:val="0"/>
        <w:pageBreakBefore w:val="0"/>
        <w:widowControl/>
        <w:shd w:val="clear" w:color="auto" w:fill="FFFFFF"/>
        <w:kinsoku/>
        <w:wordWrap/>
        <w:overflowPunct/>
        <w:topLinePunct w:val="0"/>
        <w:autoSpaceDE/>
        <w:autoSpaceDN/>
        <w:bidi w:val="0"/>
        <w:adjustRightInd/>
        <w:snapToGrid/>
        <w:spacing w:line="400" w:lineRule="exact"/>
        <w:jc w:val="left"/>
        <w:textAlignment w:val="auto"/>
        <w:rPr>
          <w:rFonts w:ascii="Times New Roman" w:hAnsi="Times New Roman" w:eastAsia="微软雅黑" w:cs="Times New Roman"/>
          <w:color w:val="000000"/>
          <w:kern w:val="0"/>
          <w:sz w:val="24"/>
          <w:szCs w:val="24"/>
        </w:rPr>
      </w:pPr>
      <w:r>
        <w:rPr>
          <w:rFonts w:hint="eastAsia" w:ascii="Times New Roman" w:hAnsi="Times New Roman" w:eastAsia="微软雅黑" w:cs="Times New Roman"/>
          <w:color w:val="000000"/>
          <w:kern w:val="0"/>
          <w:sz w:val="24"/>
          <w:szCs w:val="24"/>
        </w:rPr>
        <w:t> </w:t>
      </w:r>
    </w:p>
    <w:p>
      <w:pPr>
        <w:keepNext w:val="0"/>
        <w:keepLines w:val="0"/>
        <w:pageBreakBefore w:val="0"/>
        <w:widowControl/>
        <w:shd w:val="clear" w:color="auto" w:fill="FFFFFF"/>
        <w:kinsoku/>
        <w:wordWrap/>
        <w:overflowPunct/>
        <w:topLinePunct w:val="0"/>
        <w:autoSpaceDE/>
        <w:autoSpaceDN/>
        <w:bidi w:val="0"/>
        <w:adjustRightInd/>
        <w:snapToGrid/>
        <w:spacing w:line="400" w:lineRule="exact"/>
        <w:jc w:val="center"/>
        <w:textAlignment w:val="auto"/>
        <w:rPr>
          <w:rFonts w:ascii="微软雅黑" w:hAnsi="微软雅黑" w:eastAsia="微软雅黑" w:cs="宋体"/>
          <w:color w:val="000000"/>
          <w:kern w:val="0"/>
          <w:sz w:val="18"/>
          <w:szCs w:val="18"/>
        </w:rPr>
      </w:pPr>
      <w:r>
        <w:rPr>
          <w:rFonts w:hint="eastAsia" w:ascii="宋体" w:hAnsi="宋体" w:eastAsia="宋体" w:cs="宋体"/>
          <w:b/>
          <w:bCs/>
          <w:color w:val="000000"/>
          <w:kern w:val="0"/>
          <w:sz w:val="24"/>
          <w:szCs w:val="24"/>
        </w:rPr>
        <w:t>第十二章</w:t>
      </w:r>
      <w:r>
        <w:rPr>
          <w:rFonts w:hint="eastAsia" w:ascii="宋体" w:hAnsi="宋体" w:eastAsia="宋体" w:cs="宋体"/>
          <w:b/>
          <w:bCs/>
          <w:color w:val="000000"/>
          <w:kern w:val="0"/>
          <w:sz w:val="24"/>
          <w:szCs w:val="24"/>
          <w:lang w:val="en-US" w:eastAsia="zh-CN"/>
        </w:rPr>
        <w:t xml:space="preserve">  </w:t>
      </w:r>
      <w:r>
        <w:rPr>
          <w:rFonts w:hint="eastAsia" w:ascii="宋体" w:hAnsi="宋体" w:eastAsia="宋体" w:cs="宋体"/>
          <w:b/>
          <w:bCs/>
          <w:color w:val="000000"/>
          <w:kern w:val="0"/>
          <w:sz w:val="24"/>
          <w:szCs w:val="24"/>
        </w:rPr>
        <w:t>病毒营销与口碑传播策略</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b/>
          <w:bCs/>
          <w:color w:val="000000"/>
          <w:kern w:val="0"/>
          <w:sz w:val="21"/>
          <w:szCs w:val="21"/>
        </w:rPr>
        <w:t>1、学习目的和要求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通过本章的学习，要求掌握病毒营销概念与传播机制，熟悉病毒营销与口碑营销异同，了解病毒营销与口碑传播策略。</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b/>
          <w:bCs/>
          <w:color w:val="000000"/>
          <w:kern w:val="0"/>
          <w:sz w:val="21"/>
          <w:szCs w:val="21"/>
        </w:rPr>
        <w:t>2、考核知识点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（1）病毒营销的基本要素与特点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（2）口碑营销的5T要素</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（3）病毒营销、口碑营销与事件营销的异同</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（4）口碑营销的独特优势</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ascii="微软雅黑" w:hAnsi="微软雅黑" w:eastAsia="微软雅黑" w:cs="宋体"/>
          <w:color w:val="000000"/>
          <w:kern w:val="0"/>
          <w:sz w:val="18"/>
          <w:szCs w:val="18"/>
        </w:rPr>
      </w:pPr>
      <w:r>
        <w:rPr>
          <w:rFonts w:hint="eastAsia" w:ascii="宋体" w:hAnsi="宋体" w:eastAsia="宋体" w:cs="宋体"/>
          <w:color w:val="000000"/>
          <w:kern w:val="0"/>
          <w:sz w:val="21"/>
          <w:szCs w:val="21"/>
        </w:rPr>
        <w:t>（5）病毒营销和口碑营销的策略</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3、考核要求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（1）识记：病毒营销；事件营销；口碑营销；网络口碑营销；社交货币；六度分隔理论；社会化网络</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（2）领会：</w:t>
      </w:r>
      <w:r>
        <w:rPr>
          <w:rFonts w:hint="eastAsia" w:ascii="宋体" w:hAnsi="宋体" w:eastAsia="宋体" w:cs="宋体"/>
          <w:color w:val="000000"/>
          <w:kern w:val="0"/>
          <w:sz w:val="21"/>
          <w:szCs w:val="21"/>
          <w:lang w:val="en-US" w:eastAsia="zh-CN"/>
        </w:rPr>
        <w:t xml:space="preserve"> </w:t>
      </w:r>
      <w:r>
        <w:rPr>
          <w:rFonts w:hint="eastAsia" w:ascii="宋体" w:hAnsi="宋体" w:eastAsia="宋体" w:cs="宋体"/>
          <w:color w:val="000000"/>
          <w:kern w:val="0"/>
          <w:sz w:val="21"/>
          <w:szCs w:val="21"/>
        </w:rPr>
        <w:t>病毒营销的基本要素与特点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70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病毒营销的创意策划</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70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口碑营销的5T要素</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70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口碑营销的“STEPPS”原则</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70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口碑营销的独特优势</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4"/>
          <w:szCs w:val="24"/>
        </w:rPr>
        <w:t>（</w:t>
      </w:r>
      <w:r>
        <w:rPr>
          <w:rFonts w:hint="eastAsia" w:ascii="宋体" w:hAnsi="宋体" w:eastAsia="宋体" w:cs="宋体"/>
          <w:color w:val="000000"/>
          <w:kern w:val="0"/>
          <w:sz w:val="21"/>
          <w:szCs w:val="21"/>
        </w:rPr>
        <w:t>3）应用：策划具有高传播力的内容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寻找专业领域中的意见领袖</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选择合适的营销传播路径</w:t>
      </w:r>
      <w:bookmarkStart w:id="0" w:name="_GoBack"/>
      <w:bookmarkEnd w:id="0"/>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各类奖励计划动员口碑</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1680" w:firstLineChars="8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口碑营销的八大要诀与三三法则</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359"/>
        <w:jc w:val="left"/>
        <w:textAlignment w:val="auto"/>
        <w:rPr>
          <w:rFonts w:ascii="Times New Roman" w:hAnsi="Times New Roman" w:eastAsia="微软雅黑" w:cs="Times New Roman"/>
          <w:color w:val="000000"/>
          <w:kern w:val="0"/>
          <w:sz w:val="24"/>
          <w:szCs w:val="24"/>
        </w:rPr>
      </w:pPr>
      <w:r>
        <w:rPr>
          <w:rFonts w:hint="eastAsia" w:ascii="宋体" w:hAnsi="宋体" w:eastAsia="宋体" w:cs="宋体"/>
          <w:color w:val="000000"/>
          <w:kern w:val="0"/>
          <w:sz w:val="24"/>
          <w:szCs w:val="24"/>
        </w:rPr>
        <w:t xml:space="preserve">          </w:t>
      </w:r>
    </w:p>
    <w:p>
      <w:pPr>
        <w:keepNext w:val="0"/>
        <w:keepLines w:val="0"/>
        <w:pageBreakBefore w:val="0"/>
        <w:widowControl/>
        <w:shd w:val="clear" w:color="auto" w:fill="FFFFFF"/>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第十三章</w:t>
      </w:r>
      <w:r>
        <w:rPr>
          <w:rFonts w:hint="eastAsia" w:ascii="宋体" w:hAnsi="宋体" w:eastAsia="宋体" w:cs="宋体"/>
          <w:b/>
          <w:bCs/>
          <w:color w:val="000000"/>
          <w:kern w:val="0"/>
          <w:sz w:val="24"/>
          <w:szCs w:val="24"/>
          <w:lang w:val="en-US" w:eastAsia="zh-CN"/>
        </w:rPr>
        <w:t xml:space="preserve">  </w:t>
      </w:r>
      <w:r>
        <w:rPr>
          <w:rFonts w:hint="eastAsia" w:ascii="宋体" w:hAnsi="宋体" w:eastAsia="宋体" w:cs="宋体"/>
          <w:b/>
          <w:bCs/>
          <w:color w:val="000000"/>
          <w:kern w:val="0"/>
          <w:sz w:val="24"/>
          <w:szCs w:val="24"/>
        </w:rPr>
        <w:t>搜索引擎与长尾营销策略</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1、学习目的和要求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通过本章的学习，要求掌握搜索引擎的营销特征，熟悉搜索引擎的营销策略，了解长尾营销与网络联盟。</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b/>
          <w:bCs/>
          <w:color w:val="000000"/>
          <w:kern w:val="0"/>
          <w:sz w:val="21"/>
          <w:szCs w:val="21"/>
        </w:rPr>
        <w:t>2、考核知识点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（1）网络时代的搜索行为与搜索引擎营销</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（2）搜索引擎的特点与存在问题</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（3）策划搜索引擎营销的策略</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（4）四种搜索引擎营销的创新实践</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（5）基于长尾的网络联盟营销</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3、考核要求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（1）识记：搜索引擎；搜索引擎营销；AISAS模式；搜索引擎优化；长尾理论；长尾营销；网络联盟营销</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（2）领会：基于网络时代的消费者行为分析模型</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搜索引擎营销的特点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搜索引擎营销存在的问题</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整合营销传播下的目标设定</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xml:space="preserve">      中小企业搜索引擎营销的策略 </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xml:space="preserve"> （3）应用：搜索引擎营销的四种创新实践</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xml:space="preserve">            长尾营销实践</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ascii="宋体" w:hAnsi="宋体" w:eastAsia="宋体" w:cs="宋体"/>
          <w:color w:val="000000"/>
          <w:kern w:val="0"/>
          <w:sz w:val="24"/>
          <w:szCs w:val="24"/>
        </w:rPr>
      </w:pPr>
      <w:r>
        <w:rPr>
          <w:rFonts w:hint="eastAsia" w:ascii="宋体" w:hAnsi="宋体" w:eastAsia="宋体" w:cs="宋体"/>
          <w:color w:val="000000"/>
          <w:kern w:val="0"/>
          <w:sz w:val="21"/>
          <w:szCs w:val="21"/>
        </w:rPr>
        <w:t xml:space="preserve">          </w:t>
      </w:r>
      <w:r>
        <w:rPr>
          <w:rFonts w:hint="eastAsia" w:ascii="宋体" w:hAnsi="宋体" w:eastAsia="宋体" w:cs="宋体"/>
          <w:color w:val="000000"/>
          <w:kern w:val="0"/>
          <w:sz w:val="21"/>
          <w:szCs w:val="21"/>
          <w:lang w:val="en-US" w:eastAsia="zh-CN"/>
        </w:rPr>
        <w:t xml:space="preserve">  </w:t>
      </w:r>
      <w:r>
        <w:rPr>
          <w:rFonts w:hint="eastAsia" w:ascii="宋体" w:hAnsi="宋体" w:eastAsia="宋体" w:cs="宋体"/>
          <w:color w:val="000000"/>
          <w:kern w:val="0"/>
          <w:sz w:val="21"/>
          <w:szCs w:val="21"/>
        </w:rPr>
        <w:t>基于“长尾理论”的网络联盟营销</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359"/>
        <w:jc w:val="left"/>
        <w:textAlignment w:val="auto"/>
        <w:rPr>
          <w:rFonts w:ascii="Times New Roman" w:hAnsi="Times New Roman" w:eastAsia="微软雅黑" w:cs="Times New Roman"/>
          <w:color w:val="000000"/>
          <w:kern w:val="0"/>
          <w:sz w:val="24"/>
          <w:szCs w:val="24"/>
        </w:rPr>
      </w:pPr>
      <w:r>
        <w:rPr>
          <w:rFonts w:hint="eastAsia" w:ascii="宋体" w:hAnsi="宋体" w:eastAsia="宋体" w:cs="宋体"/>
          <w:color w:val="000000"/>
          <w:kern w:val="0"/>
          <w:sz w:val="24"/>
          <w:szCs w:val="24"/>
        </w:rPr>
        <w:t xml:space="preserve">           </w:t>
      </w:r>
    </w:p>
    <w:p>
      <w:pPr>
        <w:keepNext w:val="0"/>
        <w:keepLines w:val="0"/>
        <w:pageBreakBefore w:val="0"/>
        <w:widowControl/>
        <w:shd w:val="clear" w:color="auto" w:fill="FFFFFF"/>
        <w:kinsoku/>
        <w:wordWrap/>
        <w:overflowPunct/>
        <w:topLinePunct w:val="0"/>
        <w:autoSpaceDE/>
        <w:autoSpaceDN/>
        <w:bidi w:val="0"/>
        <w:adjustRightInd/>
        <w:snapToGrid/>
        <w:spacing w:line="400" w:lineRule="exact"/>
        <w:jc w:val="center"/>
        <w:textAlignment w:val="auto"/>
        <w:rPr>
          <w:rFonts w:ascii="微软雅黑" w:hAnsi="微软雅黑" w:eastAsia="微软雅黑" w:cs="宋体"/>
          <w:color w:val="000000"/>
          <w:kern w:val="0"/>
          <w:sz w:val="18"/>
          <w:szCs w:val="18"/>
        </w:rPr>
      </w:pPr>
      <w:r>
        <w:rPr>
          <w:rFonts w:hint="eastAsia" w:ascii="宋体" w:hAnsi="宋体" w:eastAsia="宋体" w:cs="宋体"/>
          <w:b/>
          <w:bCs/>
          <w:color w:val="000000"/>
          <w:kern w:val="0"/>
          <w:sz w:val="24"/>
          <w:szCs w:val="24"/>
        </w:rPr>
        <w:t>第十四章</w:t>
      </w:r>
      <w:r>
        <w:rPr>
          <w:rFonts w:hint="eastAsia" w:ascii="宋体" w:hAnsi="宋体" w:eastAsia="宋体" w:cs="宋体"/>
          <w:b/>
          <w:bCs/>
          <w:color w:val="000000"/>
          <w:kern w:val="0"/>
          <w:sz w:val="24"/>
          <w:szCs w:val="24"/>
          <w:lang w:val="en-US" w:eastAsia="zh-CN"/>
        </w:rPr>
        <w:t xml:space="preserve">  </w:t>
      </w:r>
      <w:r>
        <w:rPr>
          <w:rFonts w:hint="eastAsia" w:ascii="宋体" w:hAnsi="宋体" w:eastAsia="宋体" w:cs="宋体"/>
          <w:b/>
          <w:bCs/>
          <w:color w:val="000000"/>
          <w:kern w:val="0"/>
          <w:sz w:val="24"/>
          <w:szCs w:val="24"/>
        </w:rPr>
        <w:t>社会化媒体营销及其策略</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1、学习目的和要求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通过本章的学习，要求掌握社会化媒体营销特征，熟悉社会化媒体营销要略，了解社会化媒体营销案例。</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b/>
          <w:bCs/>
          <w:color w:val="000000"/>
          <w:kern w:val="0"/>
          <w:sz w:val="21"/>
          <w:szCs w:val="21"/>
        </w:rPr>
        <w:t>2、考核知识点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（1）社会化媒体营销的类型与特点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（2）社会化媒体的营销价值分析</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（3）整合营销传播下的社会化媒体营销</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（4）基于关系的社会化媒体营销要点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（5）实现互动与体验的主要方略</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3、考核要求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（1）识记：社会化媒体营销；社会化媒体类型；SICAS模型；社会化媒体营销的特点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（2）领会：基于SICAS模型的社会化媒体营销价值分析</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社会化媒体营销的传播学理据</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以整合营销传播作为深入社会化媒体核心的策略手段</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改善用户体验，优化用户的交互行为</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内容驱动仍是社会化媒介营销的王道</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xml:space="preserve"> （3）应用：基于强关系的社会化媒体营销</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xml:space="preserve">         </w:t>
      </w:r>
      <w:r>
        <w:rPr>
          <w:rFonts w:hint="eastAsia" w:ascii="宋体" w:hAnsi="宋体" w:eastAsia="宋体" w:cs="宋体"/>
          <w:color w:val="000000"/>
          <w:kern w:val="0"/>
          <w:sz w:val="21"/>
          <w:szCs w:val="21"/>
          <w:lang w:val="en-US" w:eastAsia="zh-CN"/>
        </w:rPr>
        <w:t xml:space="preserve">   </w:t>
      </w:r>
      <w:r>
        <w:rPr>
          <w:rFonts w:hint="eastAsia" w:ascii="宋体" w:hAnsi="宋体" w:eastAsia="宋体" w:cs="宋体"/>
          <w:color w:val="000000"/>
          <w:kern w:val="0"/>
          <w:sz w:val="21"/>
          <w:szCs w:val="21"/>
        </w:rPr>
        <w:t>借助弱关系的社会化媒体平台进行内容传播</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xml:space="preserve">         </w:t>
      </w:r>
      <w:r>
        <w:rPr>
          <w:rFonts w:hint="eastAsia" w:ascii="宋体" w:hAnsi="宋体" w:eastAsia="宋体" w:cs="宋体"/>
          <w:color w:val="000000"/>
          <w:kern w:val="0"/>
          <w:sz w:val="21"/>
          <w:szCs w:val="21"/>
          <w:lang w:val="en-US" w:eastAsia="zh-CN"/>
        </w:rPr>
        <w:t xml:space="preserve">   </w:t>
      </w:r>
      <w:r>
        <w:rPr>
          <w:rFonts w:hint="eastAsia" w:ascii="宋体" w:hAnsi="宋体" w:eastAsia="宋体" w:cs="宋体"/>
          <w:color w:val="000000"/>
          <w:kern w:val="0"/>
          <w:sz w:val="21"/>
          <w:szCs w:val="21"/>
        </w:rPr>
        <w:t>从线上传播到线下传播交融</w:t>
      </w:r>
    </w:p>
    <w:p>
      <w:pPr>
        <w:keepNext w:val="0"/>
        <w:keepLines w:val="0"/>
        <w:pageBreakBefore w:val="0"/>
        <w:widowControl/>
        <w:shd w:val="clear" w:color="auto" w:fill="FFFFFF"/>
        <w:kinsoku/>
        <w:wordWrap/>
        <w:overflowPunct/>
        <w:topLinePunct w:val="0"/>
        <w:autoSpaceDE/>
        <w:autoSpaceDN/>
        <w:bidi w:val="0"/>
        <w:adjustRightInd/>
        <w:snapToGrid/>
        <w:spacing w:line="400" w:lineRule="exact"/>
        <w:jc w:val="left"/>
        <w:textAlignment w:val="auto"/>
        <w:rPr>
          <w:rFonts w:ascii="Times New Roman" w:hAnsi="Times New Roman" w:eastAsia="微软雅黑" w:cs="Times New Roman"/>
          <w:color w:val="000000"/>
          <w:kern w:val="0"/>
          <w:sz w:val="24"/>
          <w:szCs w:val="24"/>
        </w:rPr>
      </w:pPr>
    </w:p>
    <w:p>
      <w:pPr>
        <w:keepNext w:val="0"/>
        <w:keepLines w:val="0"/>
        <w:pageBreakBefore w:val="0"/>
        <w:widowControl/>
        <w:shd w:val="clear" w:color="auto" w:fill="FFFFFF"/>
        <w:kinsoku/>
        <w:wordWrap/>
        <w:overflowPunct/>
        <w:topLinePunct w:val="0"/>
        <w:autoSpaceDE/>
        <w:autoSpaceDN/>
        <w:bidi w:val="0"/>
        <w:adjustRightInd/>
        <w:snapToGrid/>
        <w:spacing w:line="400" w:lineRule="exact"/>
        <w:jc w:val="left"/>
        <w:textAlignment w:val="auto"/>
        <w:rPr>
          <w:rFonts w:ascii="Times New Roman" w:hAnsi="Times New Roman" w:eastAsia="微软雅黑" w:cs="Times New Roman"/>
          <w:color w:val="000000"/>
          <w:kern w:val="0"/>
          <w:sz w:val="24"/>
          <w:szCs w:val="24"/>
        </w:rPr>
      </w:pPr>
    </w:p>
    <w:p>
      <w:pPr>
        <w:keepNext w:val="0"/>
        <w:keepLines w:val="0"/>
        <w:pageBreakBefore w:val="0"/>
        <w:widowControl/>
        <w:shd w:val="clear" w:color="auto" w:fill="FFFFFF"/>
        <w:kinsoku/>
        <w:wordWrap/>
        <w:overflowPunct/>
        <w:topLinePunct w:val="0"/>
        <w:autoSpaceDE/>
        <w:autoSpaceDN/>
        <w:bidi w:val="0"/>
        <w:adjustRightInd/>
        <w:snapToGrid/>
        <w:spacing w:line="400" w:lineRule="exact"/>
        <w:jc w:val="center"/>
        <w:textAlignment w:val="auto"/>
        <w:rPr>
          <w:rFonts w:ascii="微软雅黑" w:hAnsi="微软雅黑" w:eastAsia="微软雅黑" w:cs="宋体"/>
          <w:color w:val="000000"/>
          <w:kern w:val="0"/>
          <w:sz w:val="18"/>
          <w:szCs w:val="18"/>
        </w:rPr>
      </w:pPr>
      <w:r>
        <w:rPr>
          <w:rFonts w:hint="eastAsia" w:ascii="宋体" w:hAnsi="宋体" w:eastAsia="宋体" w:cs="宋体"/>
          <w:b/>
          <w:bCs/>
          <w:color w:val="000000"/>
          <w:kern w:val="0"/>
          <w:sz w:val="24"/>
          <w:szCs w:val="24"/>
        </w:rPr>
        <w:t>第十五章</w:t>
      </w:r>
      <w:r>
        <w:rPr>
          <w:rFonts w:hint="eastAsia" w:ascii="宋体" w:hAnsi="宋体" w:eastAsia="宋体" w:cs="宋体"/>
          <w:b/>
          <w:bCs/>
          <w:color w:val="000000"/>
          <w:kern w:val="0"/>
          <w:sz w:val="24"/>
          <w:szCs w:val="24"/>
          <w:lang w:val="en-US" w:eastAsia="zh-CN"/>
        </w:rPr>
        <w:t xml:space="preserve">  </w:t>
      </w:r>
      <w:r>
        <w:rPr>
          <w:rFonts w:hint="eastAsia" w:ascii="宋体" w:hAnsi="宋体" w:eastAsia="宋体" w:cs="宋体"/>
          <w:b/>
          <w:bCs/>
          <w:color w:val="000000"/>
          <w:kern w:val="0"/>
          <w:sz w:val="24"/>
          <w:szCs w:val="24"/>
        </w:rPr>
        <w:t>策略整合以及计划与预算</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1、学习目的和要求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通过本章的学习，要求掌握广告创意的策略整合，熟悉广告预算与效益评估，了解策划方案与计划编制。</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b/>
          <w:bCs/>
          <w:color w:val="000000"/>
          <w:kern w:val="0"/>
          <w:sz w:val="21"/>
          <w:szCs w:val="21"/>
        </w:rPr>
        <w:t>2、考核知识点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（1）广告创意及策略整合的内涵</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（2）创意与策略整合的方法</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（3）广告预算和广告效益</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（4）广告预算的计算方法</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（5）新媒体对广告效果评估的影响</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3、考核要求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（1）识记：广告创意与策略整合；广告预算；广告效果；CPM；CPC；CPA；CPE；CPS；CPT</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（2）领会：创意及策略整合的基本方法</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广告预算的内容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制定广告预算的方法</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广告效果的三个层面</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广告效果评估的重要作用</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xml:space="preserve">            新媒体广告效果关联的收费方式</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xml:space="preserve">            网络广告效果评价方法</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xml:space="preserve">  （3）应用：大数据在广告效果评价中的应用</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xml:space="preserve">          </w:t>
      </w:r>
      <w:r>
        <w:rPr>
          <w:rFonts w:hint="eastAsia" w:ascii="宋体" w:hAnsi="宋体" w:eastAsia="宋体" w:cs="宋体"/>
          <w:color w:val="000000"/>
          <w:kern w:val="0"/>
          <w:sz w:val="21"/>
          <w:szCs w:val="21"/>
          <w:lang w:val="en-US" w:eastAsia="zh-CN"/>
        </w:rPr>
        <w:t xml:space="preserve">   </w:t>
      </w:r>
      <w:r>
        <w:rPr>
          <w:rFonts w:hint="eastAsia" w:ascii="宋体" w:hAnsi="宋体" w:eastAsia="宋体" w:cs="宋体"/>
          <w:color w:val="000000"/>
          <w:kern w:val="0"/>
          <w:sz w:val="21"/>
          <w:szCs w:val="21"/>
        </w:rPr>
        <w:t>完整的广告计划文本</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xml:space="preserve">          </w:t>
      </w:r>
      <w:r>
        <w:rPr>
          <w:rFonts w:hint="eastAsia" w:ascii="宋体" w:hAnsi="宋体" w:eastAsia="宋体" w:cs="宋体"/>
          <w:color w:val="000000"/>
          <w:kern w:val="0"/>
          <w:sz w:val="21"/>
          <w:szCs w:val="21"/>
          <w:lang w:val="en-US" w:eastAsia="zh-CN"/>
        </w:rPr>
        <w:t xml:space="preserve">   </w:t>
      </w:r>
      <w:r>
        <w:rPr>
          <w:rFonts w:hint="eastAsia" w:ascii="宋体" w:hAnsi="宋体" w:eastAsia="宋体" w:cs="宋体"/>
          <w:color w:val="000000"/>
          <w:kern w:val="0"/>
          <w:sz w:val="21"/>
          <w:szCs w:val="21"/>
        </w:rPr>
        <w:t>广告策划书的形式与内容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xml:space="preserve">          </w:t>
      </w:r>
      <w:r>
        <w:rPr>
          <w:rFonts w:hint="eastAsia" w:ascii="宋体" w:hAnsi="宋体" w:eastAsia="宋体" w:cs="宋体"/>
          <w:color w:val="000000"/>
          <w:kern w:val="0"/>
          <w:sz w:val="21"/>
          <w:szCs w:val="21"/>
          <w:lang w:val="en-US" w:eastAsia="zh-CN"/>
        </w:rPr>
        <w:t xml:space="preserve">   </w:t>
      </w:r>
      <w:r>
        <w:rPr>
          <w:rFonts w:hint="eastAsia" w:ascii="宋体" w:hAnsi="宋体" w:eastAsia="宋体" w:cs="宋体"/>
          <w:color w:val="000000"/>
          <w:kern w:val="0"/>
          <w:sz w:val="21"/>
          <w:szCs w:val="21"/>
        </w:rPr>
        <w:t>广告策划书的写作要素</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359"/>
        <w:jc w:val="left"/>
        <w:textAlignment w:val="auto"/>
        <w:rPr>
          <w:rFonts w:ascii="Times New Roman" w:hAnsi="Times New Roman" w:eastAsia="微软雅黑" w:cs="Times New Roman"/>
          <w:color w:val="000000"/>
          <w:kern w:val="0"/>
          <w:sz w:val="24"/>
          <w:szCs w:val="24"/>
        </w:rPr>
      </w:pPr>
      <w:r>
        <w:rPr>
          <w:rFonts w:hint="eastAsia" w:ascii="宋体" w:hAnsi="宋体" w:eastAsia="宋体" w:cs="宋体"/>
          <w:color w:val="000000"/>
          <w:kern w:val="0"/>
          <w:sz w:val="24"/>
          <w:szCs w:val="24"/>
        </w:rPr>
        <w:t xml:space="preserve">          </w:t>
      </w:r>
    </w:p>
    <w:p>
      <w:pPr>
        <w:keepNext w:val="0"/>
        <w:keepLines w:val="0"/>
        <w:pageBreakBefore w:val="0"/>
        <w:widowControl/>
        <w:numPr>
          <w:ilvl w:val="0"/>
          <w:numId w:val="2"/>
        </w:numPr>
        <w:shd w:val="clear" w:color="auto" w:fill="FFFFFF"/>
        <w:kinsoku/>
        <w:wordWrap/>
        <w:overflowPunct/>
        <w:topLinePunct w:val="0"/>
        <w:autoSpaceDE/>
        <w:autoSpaceDN/>
        <w:bidi w:val="0"/>
        <w:adjustRightInd/>
        <w:snapToGrid/>
        <w:spacing w:line="400" w:lineRule="exact"/>
        <w:ind w:firstLine="420" w:firstLineChars="200"/>
        <w:jc w:val="left"/>
        <w:textAlignment w:val="auto"/>
        <w:rPr>
          <w:rFonts w:hint="eastAsia" w:ascii="黑体" w:hAnsi="黑体" w:eastAsia="黑体" w:cs="宋体"/>
          <w:color w:val="000000"/>
          <w:kern w:val="0"/>
          <w:sz w:val="21"/>
          <w:szCs w:val="21"/>
        </w:rPr>
      </w:pPr>
      <w:r>
        <w:rPr>
          <w:rFonts w:hint="eastAsia" w:ascii="黑体" w:hAnsi="黑体" w:eastAsia="黑体" w:cs="宋体"/>
          <w:color w:val="000000"/>
          <w:kern w:val="0"/>
          <w:sz w:val="21"/>
          <w:szCs w:val="21"/>
        </w:rPr>
        <w:t>有关说明</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400" w:lineRule="exact"/>
        <w:ind w:firstLine="420" w:firstLineChars="200"/>
        <w:jc w:val="left"/>
        <w:textAlignment w:val="auto"/>
        <w:rPr>
          <w:rFonts w:ascii="微软雅黑" w:hAnsi="微软雅黑" w:eastAsia="微软雅黑" w:cs="宋体"/>
          <w:color w:val="000000"/>
          <w:kern w:val="0"/>
          <w:sz w:val="21"/>
          <w:szCs w:val="21"/>
        </w:rPr>
      </w:pPr>
      <w:r>
        <w:rPr>
          <w:rFonts w:hint="eastAsia" w:ascii="宋体" w:hAnsi="宋体" w:eastAsia="宋体" w:cs="宋体"/>
          <w:color w:val="000000"/>
          <w:kern w:val="0"/>
          <w:sz w:val="21"/>
          <w:szCs w:val="21"/>
        </w:rPr>
        <w:t>大纲是根据专业考试计划的要求，结合自学考试的特点，规定课程内容与考核目标并使考核要求具体化的文件；是个人自学、社会助学、考试命题以及编写教材和自学辅导书的依据。为了使本大纲的规定得到贯彻和落实，兹将有关问题作如下说明，并提出具体实施要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10"/>
        <w:jc w:val="left"/>
        <w:textAlignment w:val="auto"/>
        <w:rPr>
          <w:rFonts w:ascii="微软雅黑" w:hAnsi="微软雅黑" w:eastAsia="微软雅黑" w:cs="宋体"/>
          <w:color w:val="000000"/>
          <w:kern w:val="0"/>
          <w:sz w:val="21"/>
          <w:szCs w:val="21"/>
        </w:rPr>
      </w:pPr>
      <w:r>
        <w:rPr>
          <w:rFonts w:hint="eastAsia" w:ascii="黑体" w:hAnsi="黑体" w:eastAsia="黑体" w:cs="宋体"/>
          <w:color w:val="000000"/>
          <w:kern w:val="0"/>
          <w:sz w:val="21"/>
          <w:szCs w:val="21"/>
        </w:rPr>
        <w:t>（一）关于课程内容与考核目标的说明</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359"/>
        <w:jc w:val="left"/>
        <w:textAlignment w:val="auto"/>
        <w:rPr>
          <w:rFonts w:ascii="微软雅黑" w:hAnsi="微软雅黑" w:eastAsia="微软雅黑" w:cs="宋体"/>
          <w:color w:val="000000"/>
          <w:kern w:val="0"/>
          <w:sz w:val="21"/>
          <w:szCs w:val="21"/>
        </w:rPr>
      </w:pPr>
      <w:r>
        <w:rPr>
          <w:rFonts w:hint="eastAsia" w:ascii="Times New Roman" w:hAnsi="Times New Roman" w:eastAsia="微软雅黑" w:cs="Times New Roman"/>
          <w:color w:val="000000"/>
          <w:kern w:val="0"/>
          <w:sz w:val="21"/>
          <w:szCs w:val="21"/>
        </w:rPr>
        <w:t>1</w:t>
      </w:r>
      <w:r>
        <w:rPr>
          <w:rFonts w:hint="eastAsia" w:ascii="宋体" w:hAnsi="宋体" w:eastAsia="宋体" w:cs="宋体"/>
          <w:color w:val="000000"/>
          <w:kern w:val="0"/>
          <w:sz w:val="21"/>
          <w:szCs w:val="21"/>
        </w:rPr>
        <w:t>．大纲与教材的关系：大纲是进行学习和考核的依据，教材内容是大纲所规定课程内容的扩展与发挥。大纲中规定的课程内容与考核知识点，教材中一般都有，反过来教材中有的内容，大纲里不一定都体现。</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359"/>
        <w:jc w:val="left"/>
        <w:textAlignment w:val="auto"/>
        <w:rPr>
          <w:rFonts w:ascii="微软雅黑" w:hAnsi="微软雅黑" w:eastAsia="微软雅黑" w:cs="宋体"/>
          <w:color w:val="000000"/>
          <w:kern w:val="0"/>
          <w:sz w:val="21"/>
          <w:szCs w:val="21"/>
        </w:rPr>
      </w:pPr>
      <w:r>
        <w:rPr>
          <w:rFonts w:hint="eastAsia" w:ascii="Times New Roman" w:hAnsi="Times New Roman" w:eastAsia="微软雅黑" w:cs="Times New Roman"/>
          <w:color w:val="000000"/>
          <w:kern w:val="0"/>
          <w:sz w:val="21"/>
          <w:szCs w:val="21"/>
        </w:rPr>
        <w:t>2</w:t>
      </w:r>
      <w:r>
        <w:rPr>
          <w:rFonts w:hint="eastAsia" w:ascii="宋体" w:hAnsi="宋体" w:eastAsia="宋体" w:cs="宋体"/>
          <w:color w:val="000000"/>
          <w:kern w:val="0"/>
          <w:sz w:val="21"/>
          <w:szCs w:val="21"/>
        </w:rPr>
        <w:t>．为使考试内容具体化和考试要求标准化，在本大纲列出的课程内容基础上，对各章规定了考试目标。明确考试目标，使自学应考者能够进一步明确考试内容和要求，更有目的地系统学习教材；使命题教师能够更加明确命题范围，更准确地安排试题的知识能力层次和难易度。本课程要求自学应考者学习和掌握的知识点都作为考核的内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359"/>
        <w:jc w:val="left"/>
        <w:textAlignment w:val="auto"/>
        <w:rPr>
          <w:rFonts w:ascii="微软雅黑" w:hAnsi="微软雅黑" w:eastAsia="微软雅黑" w:cs="宋体"/>
          <w:color w:val="000000"/>
          <w:kern w:val="0"/>
          <w:sz w:val="21"/>
          <w:szCs w:val="21"/>
        </w:rPr>
      </w:pPr>
      <w:r>
        <w:rPr>
          <w:rFonts w:hint="eastAsia" w:ascii="Times New Roman" w:hAnsi="Times New Roman" w:eastAsia="微软雅黑" w:cs="Times New Roman"/>
          <w:color w:val="000000"/>
          <w:kern w:val="0"/>
          <w:sz w:val="21"/>
          <w:szCs w:val="21"/>
        </w:rPr>
        <w:t>3</w:t>
      </w:r>
      <w:r>
        <w:rPr>
          <w:rFonts w:hint="eastAsia" w:ascii="宋体" w:hAnsi="宋体" w:eastAsia="宋体" w:cs="宋体"/>
          <w:color w:val="000000"/>
          <w:kern w:val="0"/>
          <w:sz w:val="21"/>
          <w:szCs w:val="21"/>
        </w:rPr>
        <w:t>．本大纲在考核目标中，按照识记、领会和应用三个层次规定达到的能力层次要求。各能力层次的含义分别是：</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359"/>
        <w:jc w:val="left"/>
        <w:textAlignment w:val="auto"/>
        <w:rPr>
          <w:rFonts w:ascii="微软雅黑" w:hAnsi="微软雅黑" w:eastAsia="微软雅黑" w:cs="宋体"/>
          <w:color w:val="000000"/>
          <w:kern w:val="0"/>
          <w:sz w:val="21"/>
          <w:szCs w:val="21"/>
        </w:rPr>
      </w:pPr>
      <w:r>
        <w:rPr>
          <w:rFonts w:hint="eastAsia" w:ascii="宋体" w:hAnsi="宋体" w:eastAsia="宋体" w:cs="宋体"/>
          <w:color w:val="000000"/>
          <w:kern w:val="0"/>
          <w:sz w:val="21"/>
          <w:szCs w:val="21"/>
        </w:rPr>
        <w:t>识记：能识别和记忆大纲中规定的考核知识点的有关定义、特点、重大历史事件等。能正确表述、选择、判断。是低的要求。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359"/>
        <w:jc w:val="left"/>
        <w:textAlignment w:val="auto"/>
        <w:rPr>
          <w:rFonts w:ascii="微软雅黑" w:hAnsi="微软雅黑" w:eastAsia="微软雅黑" w:cs="宋体"/>
          <w:color w:val="000000"/>
          <w:kern w:val="0"/>
          <w:sz w:val="21"/>
          <w:szCs w:val="21"/>
        </w:rPr>
      </w:pPr>
      <w:r>
        <w:rPr>
          <w:rFonts w:hint="eastAsia" w:ascii="宋体" w:hAnsi="宋体" w:eastAsia="宋体" w:cs="宋体"/>
          <w:color w:val="000000"/>
          <w:kern w:val="0"/>
          <w:sz w:val="21"/>
          <w:szCs w:val="21"/>
        </w:rPr>
        <w:t>领会：能领悟和理解大纲中规定的有关考核知识点的内涵和外延，熟悉其内容要点和它们之间的区别与联系，并能正确地解释、说明和论述。是较高层次的要求。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359"/>
        <w:jc w:val="left"/>
        <w:textAlignment w:val="auto"/>
        <w:rPr>
          <w:rFonts w:ascii="微软雅黑" w:hAnsi="微软雅黑" w:eastAsia="微软雅黑" w:cs="宋体"/>
          <w:color w:val="000000"/>
          <w:kern w:val="0"/>
          <w:sz w:val="21"/>
          <w:szCs w:val="21"/>
        </w:rPr>
      </w:pPr>
      <w:r>
        <w:rPr>
          <w:rFonts w:hint="eastAsia" w:ascii="宋体" w:hAnsi="宋体" w:eastAsia="宋体" w:cs="宋体"/>
          <w:color w:val="000000"/>
          <w:kern w:val="0"/>
          <w:sz w:val="21"/>
          <w:szCs w:val="21"/>
        </w:rPr>
        <w:t>应用：在领会基础上，能运用基本概念、基本原理、基本方法分析和解决有关的理论问题和实际问题，是高层次的要求。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359"/>
        <w:jc w:val="left"/>
        <w:textAlignment w:val="auto"/>
        <w:rPr>
          <w:rFonts w:ascii="微软雅黑" w:hAnsi="微软雅黑" w:eastAsia="微软雅黑" w:cs="宋体"/>
          <w:color w:val="000000"/>
          <w:kern w:val="0"/>
          <w:sz w:val="21"/>
          <w:szCs w:val="21"/>
        </w:rPr>
      </w:pPr>
      <w:r>
        <w:rPr>
          <w:rFonts w:hint="eastAsia" w:ascii="Times New Roman" w:hAnsi="Times New Roman" w:eastAsia="微软雅黑" w:cs="Times New Roman"/>
          <w:color w:val="000000"/>
          <w:kern w:val="0"/>
          <w:sz w:val="21"/>
          <w:szCs w:val="21"/>
        </w:rPr>
        <w:t> </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10"/>
        <w:jc w:val="left"/>
        <w:textAlignment w:val="auto"/>
        <w:rPr>
          <w:rFonts w:ascii="微软雅黑" w:hAnsi="微软雅黑" w:eastAsia="微软雅黑" w:cs="宋体"/>
          <w:color w:val="000000"/>
          <w:kern w:val="0"/>
          <w:sz w:val="21"/>
          <w:szCs w:val="21"/>
        </w:rPr>
      </w:pPr>
      <w:r>
        <w:rPr>
          <w:rFonts w:hint="eastAsia" w:ascii="黑体" w:hAnsi="黑体" w:eastAsia="黑体" w:cs="宋体"/>
          <w:color w:val="000000"/>
          <w:kern w:val="0"/>
          <w:sz w:val="21"/>
          <w:szCs w:val="21"/>
        </w:rPr>
        <w:t>(二)关于自学教材：</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359"/>
        <w:jc w:val="left"/>
        <w:textAlignment w:val="auto"/>
        <w:rPr>
          <w:rFonts w:ascii="微软雅黑" w:hAnsi="微软雅黑" w:eastAsia="微软雅黑" w:cs="宋体"/>
          <w:color w:val="000000"/>
          <w:kern w:val="0"/>
          <w:sz w:val="21"/>
          <w:szCs w:val="21"/>
        </w:rPr>
      </w:pPr>
      <w:r>
        <w:rPr>
          <w:rFonts w:hint="eastAsia" w:ascii="宋体" w:hAnsi="宋体" w:eastAsia="宋体" w:cs="宋体"/>
          <w:color w:val="000000"/>
          <w:kern w:val="0"/>
          <w:sz w:val="21"/>
          <w:szCs w:val="21"/>
        </w:rPr>
        <w:t>使用教材：《现代广告策划：新媒体导向策略模式》，卫军英 顾杨丽著，首都经济贸易大学出版社，</w:t>
      </w:r>
      <w:r>
        <w:rPr>
          <w:rFonts w:hint="eastAsia" w:ascii="Times New Roman" w:hAnsi="Times New Roman" w:eastAsia="微软雅黑" w:cs="Times New Roman"/>
          <w:color w:val="000000"/>
          <w:kern w:val="0"/>
          <w:sz w:val="21"/>
          <w:szCs w:val="21"/>
        </w:rPr>
        <w:t>2017</w:t>
      </w:r>
      <w:r>
        <w:rPr>
          <w:rFonts w:hint="eastAsia" w:ascii="宋体" w:hAnsi="宋体" w:eastAsia="宋体" w:cs="宋体"/>
          <w:color w:val="000000"/>
          <w:kern w:val="0"/>
          <w:sz w:val="21"/>
          <w:szCs w:val="21"/>
        </w:rPr>
        <w:t>年版。</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240"/>
        <w:jc w:val="left"/>
        <w:textAlignment w:val="auto"/>
        <w:rPr>
          <w:rFonts w:ascii="微软雅黑" w:hAnsi="微软雅黑" w:eastAsia="微软雅黑" w:cs="宋体"/>
          <w:color w:val="000000"/>
          <w:kern w:val="0"/>
          <w:sz w:val="21"/>
          <w:szCs w:val="21"/>
        </w:rPr>
      </w:pPr>
      <w:r>
        <w:rPr>
          <w:rFonts w:hint="eastAsia" w:ascii="黑体" w:hAnsi="黑体" w:eastAsia="黑体" w:cs="宋体"/>
          <w:color w:val="000000"/>
          <w:kern w:val="0"/>
          <w:sz w:val="21"/>
          <w:szCs w:val="21"/>
        </w:rPr>
        <w:t>（三）自学方法指导：</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359"/>
        <w:jc w:val="left"/>
        <w:textAlignment w:val="auto"/>
        <w:rPr>
          <w:rFonts w:ascii="微软雅黑" w:hAnsi="微软雅黑" w:eastAsia="微软雅黑" w:cs="宋体"/>
          <w:color w:val="000000"/>
          <w:kern w:val="0"/>
          <w:sz w:val="21"/>
          <w:szCs w:val="21"/>
        </w:rPr>
      </w:pPr>
      <w:r>
        <w:rPr>
          <w:rFonts w:hint="eastAsia" w:ascii="Times New Roman" w:hAnsi="Times New Roman" w:eastAsia="微软雅黑" w:cs="Times New Roman"/>
          <w:color w:val="000000"/>
          <w:kern w:val="0"/>
          <w:sz w:val="21"/>
          <w:szCs w:val="21"/>
        </w:rPr>
        <w:t>1</w:t>
      </w:r>
      <w:r>
        <w:rPr>
          <w:rFonts w:hint="eastAsia" w:ascii="宋体" w:hAnsi="宋体" w:eastAsia="宋体" w:cs="宋体"/>
          <w:color w:val="000000"/>
          <w:kern w:val="0"/>
          <w:sz w:val="21"/>
          <w:szCs w:val="21"/>
        </w:rPr>
        <w:t>．在全面系统学习的基础上，掌握广告媒介实务的重点概念、重点问题和重点方法。</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359"/>
        <w:jc w:val="left"/>
        <w:textAlignment w:val="auto"/>
        <w:rPr>
          <w:rFonts w:ascii="微软雅黑" w:hAnsi="微软雅黑" w:eastAsia="微软雅黑" w:cs="宋体"/>
          <w:color w:val="000000"/>
          <w:kern w:val="0"/>
          <w:sz w:val="21"/>
          <w:szCs w:val="21"/>
        </w:rPr>
      </w:pPr>
      <w:r>
        <w:rPr>
          <w:rFonts w:hint="eastAsia" w:ascii="Times New Roman" w:hAnsi="Times New Roman" w:eastAsia="微软雅黑" w:cs="Times New Roman"/>
          <w:color w:val="000000"/>
          <w:kern w:val="0"/>
          <w:sz w:val="21"/>
          <w:szCs w:val="21"/>
        </w:rPr>
        <w:t>2</w:t>
      </w:r>
      <w:r>
        <w:rPr>
          <w:rFonts w:hint="eastAsia" w:ascii="宋体" w:hAnsi="宋体" w:eastAsia="宋体" w:cs="宋体"/>
          <w:color w:val="000000"/>
          <w:kern w:val="0"/>
          <w:sz w:val="21"/>
          <w:szCs w:val="21"/>
        </w:rPr>
        <w:t>．重视理论联系实际，要具有正确分析广告媒介问题、初步开展广告媒介作业的能力。</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240"/>
        <w:jc w:val="left"/>
        <w:textAlignment w:val="auto"/>
        <w:rPr>
          <w:rFonts w:ascii="微软雅黑" w:hAnsi="微软雅黑" w:eastAsia="微软雅黑" w:cs="宋体"/>
          <w:color w:val="000000"/>
          <w:kern w:val="0"/>
          <w:sz w:val="21"/>
          <w:szCs w:val="21"/>
        </w:rPr>
      </w:pPr>
      <w:r>
        <w:rPr>
          <w:rFonts w:hint="eastAsia" w:ascii="黑体" w:hAnsi="黑体" w:eastAsia="黑体" w:cs="宋体"/>
          <w:color w:val="000000"/>
          <w:kern w:val="0"/>
          <w:sz w:val="21"/>
          <w:szCs w:val="21"/>
        </w:rPr>
        <w:t>（四）对社会助学的要求：</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359"/>
        <w:jc w:val="left"/>
        <w:textAlignment w:val="auto"/>
        <w:rPr>
          <w:rFonts w:ascii="微软雅黑" w:hAnsi="微软雅黑" w:eastAsia="微软雅黑" w:cs="宋体"/>
          <w:color w:val="000000"/>
          <w:kern w:val="0"/>
          <w:sz w:val="21"/>
          <w:szCs w:val="21"/>
        </w:rPr>
      </w:pPr>
      <w:r>
        <w:rPr>
          <w:rFonts w:hint="eastAsia" w:ascii="Times New Roman" w:hAnsi="Times New Roman" w:eastAsia="微软雅黑" w:cs="Times New Roman"/>
          <w:color w:val="000000"/>
          <w:kern w:val="0"/>
          <w:sz w:val="21"/>
          <w:szCs w:val="21"/>
        </w:rPr>
        <w:t>1</w:t>
      </w:r>
      <w:r>
        <w:rPr>
          <w:rFonts w:hint="eastAsia" w:ascii="宋体" w:hAnsi="宋体" w:eastAsia="宋体" w:cs="宋体"/>
          <w:color w:val="000000"/>
          <w:kern w:val="0"/>
          <w:sz w:val="21"/>
          <w:szCs w:val="21"/>
        </w:rPr>
        <w:t>．社会助学者应根据本大纲规定的课程内容和考核目标，认真学习和钻研自学教材，明确本课程的特点与学习要求，对自学应考者进行切实的辅导，引导他们防止自学中的各种偏向，把握社会助学的正确导向。</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359"/>
        <w:jc w:val="left"/>
        <w:textAlignment w:val="auto"/>
        <w:rPr>
          <w:rFonts w:ascii="微软雅黑" w:hAnsi="微软雅黑" w:eastAsia="微软雅黑" w:cs="宋体"/>
          <w:color w:val="000000"/>
          <w:kern w:val="0"/>
          <w:sz w:val="21"/>
          <w:szCs w:val="21"/>
        </w:rPr>
      </w:pPr>
      <w:r>
        <w:rPr>
          <w:rFonts w:hint="eastAsia" w:ascii="Times New Roman" w:hAnsi="Times New Roman" w:eastAsia="微软雅黑" w:cs="Times New Roman"/>
          <w:color w:val="000000"/>
          <w:kern w:val="0"/>
          <w:sz w:val="21"/>
          <w:szCs w:val="21"/>
        </w:rPr>
        <w:t>2</w:t>
      </w:r>
      <w:r>
        <w:rPr>
          <w:rFonts w:hint="eastAsia" w:ascii="宋体" w:hAnsi="宋体" w:eastAsia="宋体" w:cs="宋体"/>
          <w:color w:val="000000"/>
          <w:kern w:val="0"/>
          <w:sz w:val="21"/>
          <w:szCs w:val="21"/>
        </w:rPr>
        <w:t>．要正确处理基础知识与综合能力之间的关系，努力引导自学应考者将识记与领会联系起来，在全面辅导的基础上，着重培养和提高自学应考者对新媒体时代广告媒介实务的分析和综合能力。</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359"/>
        <w:jc w:val="left"/>
        <w:textAlignment w:val="auto"/>
        <w:rPr>
          <w:rFonts w:ascii="微软雅黑" w:hAnsi="微软雅黑" w:eastAsia="微软雅黑" w:cs="宋体"/>
          <w:color w:val="000000"/>
          <w:kern w:val="0"/>
          <w:sz w:val="21"/>
          <w:szCs w:val="21"/>
        </w:rPr>
      </w:pPr>
      <w:r>
        <w:rPr>
          <w:rFonts w:hint="eastAsia" w:ascii="Times New Roman" w:hAnsi="Times New Roman" w:eastAsia="微软雅黑" w:cs="Times New Roman"/>
          <w:color w:val="000000"/>
          <w:kern w:val="0"/>
          <w:sz w:val="21"/>
          <w:szCs w:val="21"/>
        </w:rPr>
        <w:t>3</w:t>
      </w:r>
      <w:r>
        <w:rPr>
          <w:rFonts w:hint="eastAsia" w:ascii="宋体" w:hAnsi="宋体" w:eastAsia="宋体" w:cs="宋体"/>
          <w:color w:val="000000"/>
          <w:kern w:val="0"/>
          <w:sz w:val="21"/>
          <w:szCs w:val="21"/>
        </w:rPr>
        <w:t>．要正确处理重点和一般的关系。课程内容有重点和一般之分，但考试内容是全面的，而且重点与一般是相互联系的。社会助学者应指导自学应考者全面系统地学习教材，掌握全部考核知识点与考核要求，在此基础上突出重点。总之，要把重点学习与兼顾一般结合起来，切勿孤立地抓重点，把自学应考者引向猜题押题。</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10"/>
        <w:jc w:val="left"/>
        <w:textAlignment w:val="auto"/>
        <w:rPr>
          <w:rFonts w:ascii="微软雅黑" w:hAnsi="微软雅黑" w:eastAsia="微软雅黑" w:cs="宋体"/>
          <w:color w:val="000000"/>
          <w:kern w:val="0"/>
          <w:sz w:val="21"/>
          <w:szCs w:val="21"/>
        </w:rPr>
      </w:pPr>
      <w:r>
        <w:rPr>
          <w:rFonts w:hint="eastAsia" w:ascii="黑体" w:hAnsi="黑体" w:eastAsia="黑体" w:cs="宋体"/>
          <w:color w:val="000000"/>
          <w:kern w:val="0"/>
          <w:sz w:val="21"/>
          <w:szCs w:val="21"/>
        </w:rPr>
        <w:t>（五）关于命题的若干规定</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359"/>
        <w:jc w:val="left"/>
        <w:textAlignment w:val="auto"/>
        <w:rPr>
          <w:rFonts w:ascii="微软雅黑" w:hAnsi="微软雅黑" w:eastAsia="微软雅黑" w:cs="宋体"/>
          <w:color w:val="000000"/>
          <w:kern w:val="0"/>
          <w:sz w:val="21"/>
          <w:szCs w:val="21"/>
        </w:rPr>
      </w:pPr>
      <w:r>
        <w:rPr>
          <w:rFonts w:hint="eastAsia" w:ascii="Times New Roman" w:hAnsi="Times New Roman" w:eastAsia="微软雅黑" w:cs="Times New Roman"/>
          <w:color w:val="000000"/>
          <w:kern w:val="0"/>
          <w:sz w:val="21"/>
          <w:szCs w:val="21"/>
        </w:rPr>
        <w:t>1</w:t>
      </w:r>
      <w:r>
        <w:rPr>
          <w:rFonts w:hint="eastAsia" w:ascii="宋体" w:hAnsi="宋体" w:eastAsia="宋体" w:cs="宋体"/>
          <w:color w:val="000000"/>
          <w:kern w:val="0"/>
          <w:sz w:val="21"/>
          <w:szCs w:val="21"/>
        </w:rPr>
        <w:t>．本大纲各章所规定的考核知识点及知识点下的知识细目，都属于本课程命题考试的内容。考试命题覆盖到章，并适当突出重点部分内容，加大重点内容的覆盖密度，体现本课程内容重点。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359"/>
        <w:jc w:val="left"/>
        <w:textAlignment w:val="auto"/>
        <w:rPr>
          <w:rFonts w:ascii="微软雅黑" w:hAnsi="微软雅黑" w:eastAsia="微软雅黑" w:cs="宋体"/>
          <w:color w:val="000000"/>
          <w:kern w:val="0"/>
          <w:sz w:val="21"/>
          <w:szCs w:val="21"/>
        </w:rPr>
      </w:pPr>
      <w:r>
        <w:rPr>
          <w:rFonts w:hint="eastAsia" w:ascii="Times New Roman" w:hAnsi="Times New Roman" w:eastAsia="微软雅黑" w:cs="Times New Roman"/>
          <w:color w:val="000000"/>
          <w:kern w:val="0"/>
          <w:sz w:val="21"/>
          <w:szCs w:val="21"/>
        </w:rPr>
        <w:t>2</w:t>
      </w:r>
      <w:r>
        <w:rPr>
          <w:rFonts w:hint="eastAsia" w:ascii="宋体" w:hAnsi="宋体" w:eastAsia="宋体" w:cs="宋体"/>
          <w:color w:val="000000"/>
          <w:kern w:val="0"/>
          <w:sz w:val="21"/>
          <w:szCs w:val="21"/>
        </w:rPr>
        <w:t>．本课程在试卷中对不同能力层次要求的分数比例大致是：识记占</w:t>
      </w:r>
      <w:r>
        <w:rPr>
          <w:rFonts w:hint="eastAsia" w:ascii="Times New Roman" w:hAnsi="Times New Roman" w:eastAsia="微软雅黑" w:cs="Times New Roman"/>
          <w:color w:val="000000"/>
          <w:kern w:val="0"/>
          <w:sz w:val="21"/>
          <w:szCs w:val="21"/>
        </w:rPr>
        <w:t>45</w:t>
      </w:r>
      <w:r>
        <w:rPr>
          <w:rFonts w:hint="eastAsia" w:ascii="宋体" w:hAnsi="宋体" w:eastAsia="宋体" w:cs="宋体"/>
          <w:color w:val="000000"/>
          <w:kern w:val="0"/>
          <w:sz w:val="21"/>
          <w:szCs w:val="21"/>
        </w:rPr>
        <w:t>％、领会占</w:t>
      </w:r>
      <w:r>
        <w:rPr>
          <w:rFonts w:hint="eastAsia" w:ascii="Times New Roman" w:hAnsi="Times New Roman" w:eastAsia="微软雅黑" w:cs="Times New Roman"/>
          <w:color w:val="000000"/>
          <w:kern w:val="0"/>
          <w:sz w:val="21"/>
          <w:szCs w:val="21"/>
        </w:rPr>
        <w:t>45</w:t>
      </w:r>
      <w:r>
        <w:rPr>
          <w:rFonts w:hint="eastAsia" w:ascii="宋体" w:hAnsi="宋体" w:eastAsia="宋体" w:cs="宋体"/>
          <w:color w:val="000000"/>
          <w:kern w:val="0"/>
          <w:sz w:val="21"/>
          <w:szCs w:val="21"/>
        </w:rPr>
        <w:t>％、应用占</w:t>
      </w:r>
      <w:r>
        <w:rPr>
          <w:rFonts w:hint="eastAsia" w:ascii="Times New Roman" w:hAnsi="Times New Roman" w:eastAsia="微软雅黑" w:cs="Times New Roman"/>
          <w:color w:val="000000"/>
          <w:kern w:val="0"/>
          <w:sz w:val="21"/>
          <w:szCs w:val="21"/>
        </w:rPr>
        <w:t>10%</w:t>
      </w:r>
      <w:r>
        <w:rPr>
          <w:rFonts w:hint="eastAsia" w:ascii="宋体" w:hAnsi="宋体" w:eastAsia="宋体" w:cs="宋体"/>
          <w:color w:val="000000"/>
          <w:kern w:val="0"/>
          <w:sz w:val="21"/>
          <w:szCs w:val="21"/>
        </w:rPr>
        <w:t>。</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359"/>
        <w:jc w:val="left"/>
        <w:textAlignment w:val="auto"/>
        <w:rPr>
          <w:rFonts w:ascii="微软雅黑" w:hAnsi="微软雅黑" w:eastAsia="微软雅黑" w:cs="宋体"/>
          <w:color w:val="000000"/>
          <w:kern w:val="0"/>
          <w:sz w:val="21"/>
          <w:szCs w:val="21"/>
        </w:rPr>
      </w:pPr>
      <w:r>
        <w:rPr>
          <w:rFonts w:hint="eastAsia" w:ascii="Times New Roman" w:hAnsi="Times New Roman" w:eastAsia="微软雅黑" w:cs="Times New Roman"/>
          <w:color w:val="000000"/>
          <w:kern w:val="0"/>
          <w:sz w:val="21"/>
          <w:szCs w:val="21"/>
        </w:rPr>
        <w:t>3</w:t>
      </w:r>
      <w:r>
        <w:rPr>
          <w:rFonts w:hint="eastAsia" w:ascii="宋体" w:hAnsi="宋体" w:eastAsia="宋体" w:cs="宋体"/>
          <w:color w:val="000000"/>
          <w:kern w:val="0"/>
          <w:sz w:val="21"/>
          <w:szCs w:val="21"/>
        </w:rPr>
        <w:t>．将合理安排试题难易程度，试题难易度可以分为：易、较易、较难和难四个等级。每份试卷中不同难度试题的分数比例大致为：易占</w:t>
      </w:r>
      <w:r>
        <w:rPr>
          <w:rFonts w:hint="eastAsia" w:ascii="Times New Roman" w:hAnsi="Times New Roman" w:eastAsia="微软雅黑" w:cs="Times New Roman"/>
          <w:color w:val="000000"/>
          <w:kern w:val="0"/>
          <w:sz w:val="21"/>
          <w:szCs w:val="21"/>
        </w:rPr>
        <w:t>20</w:t>
      </w:r>
      <w:r>
        <w:rPr>
          <w:rFonts w:hint="eastAsia" w:ascii="宋体" w:hAnsi="宋体" w:eastAsia="宋体" w:cs="宋体"/>
          <w:color w:val="000000"/>
          <w:kern w:val="0"/>
          <w:sz w:val="21"/>
          <w:szCs w:val="21"/>
        </w:rPr>
        <w:t>％、较易占</w:t>
      </w:r>
      <w:r>
        <w:rPr>
          <w:rFonts w:hint="eastAsia" w:ascii="Times New Roman" w:hAnsi="Times New Roman" w:eastAsia="微软雅黑" w:cs="Times New Roman"/>
          <w:color w:val="000000"/>
          <w:kern w:val="0"/>
          <w:sz w:val="21"/>
          <w:szCs w:val="21"/>
        </w:rPr>
        <w:t>30</w:t>
      </w:r>
      <w:r>
        <w:rPr>
          <w:rFonts w:hint="eastAsia" w:ascii="宋体" w:hAnsi="宋体" w:eastAsia="宋体" w:cs="宋体"/>
          <w:color w:val="000000"/>
          <w:kern w:val="0"/>
          <w:sz w:val="21"/>
          <w:szCs w:val="21"/>
        </w:rPr>
        <w:t>％、较难占</w:t>
      </w:r>
      <w:r>
        <w:rPr>
          <w:rFonts w:hint="eastAsia" w:ascii="Times New Roman" w:hAnsi="Times New Roman" w:eastAsia="微软雅黑" w:cs="Times New Roman"/>
          <w:color w:val="000000"/>
          <w:kern w:val="0"/>
          <w:sz w:val="21"/>
          <w:szCs w:val="21"/>
        </w:rPr>
        <w:t>30</w:t>
      </w:r>
      <w:r>
        <w:rPr>
          <w:rFonts w:hint="eastAsia" w:ascii="宋体" w:hAnsi="宋体" w:eastAsia="宋体" w:cs="宋体"/>
          <w:color w:val="000000"/>
          <w:kern w:val="0"/>
          <w:sz w:val="21"/>
          <w:szCs w:val="21"/>
        </w:rPr>
        <w:t>％、难占</w:t>
      </w:r>
      <w:r>
        <w:rPr>
          <w:rFonts w:hint="eastAsia" w:ascii="Times New Roman" w:hAnsi="Times New Roman" w:eastAsia="微软雅黑" w:cs="Times New Roman"/>
          <w:color w:val="000000"/>
          <w:kern w:val="0"/>
          <w:sz w:val="21"/>
          <w:szCs w:val="21"/>
        </w:rPr>
        <w:t>20</w:t>
      </w:r>
      <w:r>
        <w:rPr>
          <w:rFonts w:hint="eastAsia" w:ascii="宋体" w:hAnsi="宋体" w:eastAsia="宋体" w:cs="宋体"/>
          <w:color w:val="000000"/>
          <w:kern w:val="0"/>
          <w:sz w:val="21"/>
          <w:szCs w:val="21"/>
        </w:rPr>
        <w:t>％。</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359"/>
        <w:jc w:val="left"/>
        <w:textAlignment w:val="auto"/>
        <w:rPr>
          <w:rFonts w:ascii="微软雅黑" w:hAnsi="微软雅黑" w:eastAsia="微软雅黑" w:cs="宋体"/>
          <w:color w:val="000000"/>
          <w:kern w:val="0"/>
          <w:sz w:val="21"/>
          <w:szCs w:val="21"/>
        </w:rPr>
      </w:pPr>
      <w:r>
        <w:rPr>
          <w:rFonts w:hint="eastAsia" w:ascii="Times New Roman" w:hAnsi="Times New Roman" w:eastAsia="微软雅黑" w:cs="Times New Roman"/>
          <w:color w:val="000000"/>
          <w:kern w:val="0"/>
          <w:sz w:val="21"/>
          <w:szCs w:val="21"/>
        </w:rPr>
        <w:t>4</w:t>
      </w:r>
      <w:r>
        <w:rPr>
          <w:rFonts w:hint="eastAsia" w:ascii="宋体" w:hAnsi="宋体" w:eastAsia="宋体" w:cs="宋体"/>
          <w:color w:val="000000"/>
          <w:kern w:val="0"/>
          <w:sz w:val="21"/>
          <w:szCs w:val="21"/>
        </w:rPr>
        <w:t>．本课程考试可能采用的题型一般有：单项选择题、名词解释、简答题、计算题、论述题、案例分析题等。</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359"/>
        <w:jc w:val="left"/>
        <w:textAlignment w:val="auto"/>
        <w:rPr>
          <w:rFonts w:ascii="微软雅黑" w:hAnsi="微软雅黑" w:eastAsia="微软雅黑" w:cs="宋体"/>
          <w:color w:val="000000"/>
          <w:kern w:val="0"/>
          <w:sz w:val="18"/>
          <w:szCs w:val="18"/>
        </w:rPr>
      </w:pPr>
      <w:r>
        <w:rPr>
          <w:rFonts w:hint="eastAsia" w:ascii="Times New Roman" w:hAnsi="Times New Roman" w:eastAsia="微软雅黑" w:cs="Times New Roman"/>
          <w:color w:val="000000"/>
          <w:kern w:val="0"/>
          <w:sz w:val="24"/>
          <w:szCs w:val="24"/>
        </w:rPr>
        <w:t> </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79"/>
        <w:jc w:val="center"/>
        <w:textAlignment w:val="auto"/>
        <w:rPr>
          <w:rFonts w:ascii="微软雅黑" w:hAnsi="微软雅黑" w:eastAsia="微软雅黑" w:cs="宋体"/>
          <w:color w:val="000000"/>
          <w:kern w:val="0"/>
          <w:sz w:val="18"/>
          <w:szCs w:val="18"/>
        </w:rPr>
      </w:pPr>
      <w:r>
        <w:rPr>
          <w:rFonts w:hint="eastAsia" w:ascii="Times New Roman" w:hAnsi="Times New Roman" w:eastAsia="微软雅黑" w:cs="Times New Roman"/>
          <w:color w:val="000000"/>
          <w:kern w:val="0"/>
          <w:sz w:val="28"/>
          <w:szCs w:val="28"/>
        </w:rPr>
        <w:t> </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79"/>
        <w:jc w:val="center"/>
        <w:textAlignment w:val="auto"/>
        <w:rPr>
          <w:rFonts w:ascii="微软雅黑" w:hAnsi="微软雅黑" w:eastAsia="微软雅黑" w:cs="宋体"/>
          <w:color w:val="000000"/>
          <w:kern w:val="0"/>
          <w:sz w:val="18"/>
          <w:szCs w:val="18"/>
        </w:rPr>
      </w:pPr>
      <w:r>
        <w:rPr>
          <w:rFonts w:hint="eastAsia" w:ascii="宋体" w:hAnsi="宋体" w:eastAsia="宋体" w:cs="宋体"/>
          <w:color w:val="000000"/>
          <w:kern w:val="0"/>
          <w:sz w:val="28"/>
          <w:szCs w:val="28"/>
        </w:rPr>
        <w:t>附录：题型举例</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359"/>
        <w:jc w:val="left"/>
        <w:textAlignment w:val="auto"/>
        <w:rPr>
          <w:rFonts w:ascii="微软雅黑" w:hAnsi="微软雅黑" w:eastAsia="微软雅黑" w:cs="宋体"/>
          <w:b/>
          <w:color w:val="000000"/>
          <w:kern w:val="0"/>
          <w:sz w:val="18"/>
          <w:szCs w:val="18"/>
        </w:rPr>
      </w:pPr>
      <w:r>
        <w:rPr>
          <w:rFonts w:hint="eastAsia" w:ascii="宋体" w:hAnsi="宋体" w:eastAsia="宋体" w:cs="宋体"/>
          <w:b/>
          <w:color w:val="000000"/>
          <w:kern w:val="0"/>
          <w:sz w:val="24"/>
          <w:szCs w:val="24"/>
        </w:rPr>
        <w:t>（一）单项选择题：</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ascii="微软雅黑" w:hAnsi="微软雅黑" w:eastAsia="微软雅黑" w:cs="宋体"/>
          <w:color w:val="000000"/>
          <w:kern w:val="0"/>
          <w:sz w:val="18"/>
          <w:szCs w:val="18"/>
        </w:rPr>
      </w:pPr>
      <w:r>
        <w:rPr>
          <w:rFonts w:hint="eastAsia" w:ascii="宋体" w:hAnsi="宋体" w:eastAsia="宋体" w:cs="宋体"/>
          <w:color w:val="000000"/>
          <w:kern w:val="0"/>
          <w:sz w:val="24"/>
          <w:szCs w:val="24"/>
        </w:rPr>
        <w:t>在下列各题的若干备选答案中，选出一个正确答案，将其号码写在题后的括号内。</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20"/>
        <w:jc w:val="left"/>
        <w:textAlignment w:val="auto"/>
        <w:rPr>
          <w:rFonts w:ascii="微软雅黑" w:hAnsi="微软雅黑" w:eastAsia="微软雅黑" w:cs="宋体"/>
          <w:color w:val="000000"/>
          <w:kern w:val="0"/>
          <w:sz w:val="18"/>
          <w:szCs w:val="18"/>
        </w:rPr>
      </w:pPr>
      <w:r>
        <w:rPr>
          <w:rFonts w:hint="eastAsia" w:ascii="宋体" w:hAnsi="宋体" w:eastAsia="宋体" w:cs="宋体"/>
          <w:color w:val="000000"/>
          <w:kern w:val="0"/>
          <w:sz w:val="24"/>
          <w:szCs w:val="24"/>
        </w:rPr>
        <w:t>具有针对性强，能比较准确地选择传播对象的特点的广告是（</w:t>
      </w:r>
      <w:r>
        <w:rPr>
          <w:rFonts w:hint="eastAsia" w:ascii="Times New Roman" w:hAnsi="Times New Roman" w:eastAsia="微软雅黑" w:cs="Times New Roman"/>
          <w:color w:val="000000"/>
          <w:kern w:val="0"/>
          <w:sz w:val="24"/>
          <w:szCs w:val="24"/>
        </w:rPr>
        <w:t>  </w:t>
      </w:r>
      <w:r>
        <w:rPr>
          <w:rFonts w:hint="eastAsia" w:ascii="宋体" w:hAnsi="宋体" w:eastAsia="宋体" w:cs="宋体"/>
          <w:color w:val="000000"/>
          <w:kern w:val="0"/>
          <w:sz w:val="24"/>
          <w:szCs w:val="24"/>
        </w:rPr>
        <w:t>）。</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359"/>
        <w:jc w:val="left"/>
        <w:textAlignment w:val="auto"/>
        <w:rPr>
          <w:rFonts w:ascii="宋体" w:hAnsi="宋体" w:eastAsia="宋体" w:cs="宋体"/>
          <w:color w:val="000000"/>
          <w:kern w:val="0"/>
          <w:sz w:val="24"/>
          <w:szCs w:val="24"/>
        </w:rPr>
      </w:pPr>
      <w:r>
        <w:rPr>
          <w:rFonts w:hint="eastAsia" w:ascii="Times New Roman" w:hAnsi="Times New Roman" w:eastAsia="微软雅黑" w:cs="Times New Roman"/>
          <w:color w:val="000000"/>
          <w:kern w:val="0"/>
          <w:sz w:val="24"/>
          <w:szCs w:val="24"/>
        </w:rPr>
        <w:t>A</w:t>
      </w:r>
      <w:r>
        <w:rPr>
          <w:rFonts w:hint="eastAsia" w:ascii="宋体" w:hAnsi="宋体" w:eastAsia="宋体" w:cs="宋体"/>
          <w:color w:val="000000"/>
          <w:kern w:val="0"/>
          <w:sz w:val="24"/>
          <w:szCs w:val="24"/>
        </w:rPr>
        <w:t>．焦点广告　　　Ｂ．直邮广告   　</w:t>
      </w:r>
      <w:r>
        <w:rPr>
          <w:rFonts w:hint="eastAsia" w:ascii="Times New Roman" w:hAnsi="Times New Roman" w:eastAsia="微软雅黑" w:cs="Times New Roman"/>
          <w:color w:val="000000"/>
          <w:kern w:val="0"/>
          <w:sz w:val="24"/>
          <w:szCs w:val="24"/>
        </w:rPr>
        <w:t> </w:t>
      </w:r>
      <w:r>
        <w:rPr>
          <w:rFonts w:hint="eastAsia" w:ascii="宋体" w:hAnsi="宋体" w:eastAsia="宋体" w:cs="宋体"/>
          <w:color w:val="000000"/>
          <w:kern w:val="0"/>
          <w:sz w:val="24"/>
          <w:szCs w:val="24"/>
        </w:rPr>
        <w:t>Ｃ．户外广告</w:t>
      </w:r>
      <w:r>
        <w:rPr>
          <w:rFonts w:hint="eastAsia" w:ascii="Times New Roman" w:hAnsi="Times New Roman" w:eastAsia="微软雅黑" w:cs="Times New Roman"/>
          <w:color w:val="000000"/>
          <w:kern w:val="0"/>
          <w:sz w:val="24"/>
          <w:szCs w:val="24"/>
        </w:rPr>
        <w:t>  </w:t>
      </w:r>
      <w:r>
        <w:rPr>
          <w:rFonts w:hint="eastAsia" w:ascii="宋体" w:hAnsi="宋体" w:eastAsia="宋体" w:cs="宋体"/>
          <w:color w:val="000000"/>
          <w:kern w:val="0"/>
          <w:sz w:val="24"/>
          <w:szCs w:val="24"/>
        </w:rPr>
        <w:t>　Ｄ．交通广告</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359"/>
        <w:jc w:val="left"/>
        <w:textAlignment w:val="auto"/>
        <w:rPr>
          <w:rFonts w:ascii="微软雅黑" w:hAnsi="微软雅黑" w:eastAsia="微软雅黑" w:cs="宋体"/>
          <w:b/>
          <w:color w:val="000000"/>
          <w:kern w:val="0"/>
          <w:sz w:val="18"/>
          <w:szCs w:val="18"/>
        </w:rPr>
      </w:pPr>
      <w:r>
        <w:rPr>
          <w:rFonts w:hint="eastAsia" w:ascii="宋体" w:hAnsi="宋体" w:eastAsia="宋体" w:cs="宋体"/>
          <w:b/>
          <w:color w:val="000000"/>
          <w:kern w:val="0"/>
          <w:sz w:val="24"/>
          <w:szCs w:val="24"/>
        </w:rPr>
        <w:t>（二）名词解释：</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left="360"/>
        <w:jc w:val="left"/>
        <w:textAlignment w:val="auto"/>
        <w:rPr>
          <w:rFonts w:ascii="微软雅黑" w:hAnsi="微软雅黑" w:eastAsia="微软雅黑" w:cs="宋体"/>
          <w:color w:val="000000"/>
          <w:kern w:val="0"/>
          <w:sz w:val="18"/>
          <w:szCs w:val="18"/>
        </w:rPr>
      </w:pPr>
      <w:r>
        <w:rPr>
          <w:rFonts w:hint="eastAsia" w:ascii="Times New Roman" w:hAnsi="Times New Roman" w:eastAsia="微软雅黑" w:cs="Times New Roman"/>
          <w:color w:val="000000"/>
          <w:kern w:val="0"/>
          <w:sz w:val="24"/>
          <w:szCs w:val="24"/>
        </w:rPr>
        <w:t>1</w:t>
      </w:r>
      <w:r>
        <w:rPr>
          <w:rFonts w:hint="eastAsia" w:ascii="宋体" w:hAnsi="宋体" w:eastAsia="宋体" w:cs="宋体"/>
          <w:color w:val="000000"/>
          <w:kern w:val="0"/>
          <w:sz w:val="24"/>
          <w:szCs w:val="24"/>
        </w:rPr>
        <w:t>．精准营销</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left="360"/>
        <w:jc w:val="left"/>
        <w:textAlignment w:val="auto"/>
        <w:rPr>
          <w:rFonts w:ascii="微软雅黑" w:hAnsi="微软雅黑" w:eastAsia="微软雅黑" w:cs="宋体"/>
          <w:color w:val="000000"/>
          <w:kern w:val="0"/>
          <w:sz w:val="18"/>
          <w:szCs w:val="18"/>
        </w:rPr>
      </w:pPr>
      <w:r>
        <w:rPr>
          <w:rFonts w:hint="eastAsia" w:ascii="Times New Roman" w:hAnsi="Times New Roman" w:eastAsia="微软雅黑" w:cs="Times New Roman"/>
          <w:color w:val="000000"/>
          <w:kern w:val="0"/>
          <w:sz w:val="24"/>
          <w:szCs w:val="24"/>
        </w:rPr>
        <w:t>2</w:t>
      </w:r>
      <w:r>
        <w:rPr>
          <w:rFonts w:hint="eastAsia" w:ascii="宋体" w:hAnsi="宋体" w:eastAsia="宋体" w:cs="宋体"/>
          <w:color w:val="000000"/>
          <w:kern w:val="0"/>
          <w:sz w:val="24"/>
          <w:szCs w:val="24"/>
        </w:rPr>
        <w:t>．网络广告</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359"/>
        <w:jc w:val="left"/>
        <w:textAlignment w:val="auto"/>
        <w:rPr>
          <w:rFonts w:ascii="微软雅黑" w:hAnsi="微软雅黑" w:eastAsia="微软雅黑" w:cs="宋体"/>
          <w:b/>
          <w:color w:val="000000"/>
          <w:kern w:val="0"/>
          <w:sz w:val="18"/>
          <w:szCs w:val="18"/>
        </w:rPr>
      </w:pPr>
      <w:r>
        <w:rPr>
          <w:rFonts w:hint="eastAsia" w:ascii="宋体" w:hAnsi="宋体" w:eastAsia="宋体" w:cs="宋体"/>
          <w:b/>
          <w:color w:val="000000"/>
          <w:kern w:val="0"/>
          <w:sz w:val="24"/>
          <w:szCs w:val="24"/>
        </w:rPr>
        <w:t>（三）简答题：</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359"/>
        <w:jc w:val="left"/>
        <w:textAlignment w:val="auto"/>
        <w:rPr>
          <w:rFonts w:ascii="微软雅黑" w:hAnsi="微软雅黑" w:eastAsia="微软雅黑" w:cs="宋体"/>
          <w:color w:val="000000"/>
          <w:kern w:val="0"/>
          <w:sz w:val="18"/>
          <w:szCs w:val="18"/>
        </w:rPr>
      </w:pPr>
      <w:r>
        <w:rPr>
          <w:rFonts w:hint="eastAsia" w:ascii="宋体" w:hAnsi="宋体" w:eastAsia="宋体" w:cs="宋体"/>
          <w:color w:val="000000"/>
          <w:kern w:val="0"/>
          <w:sz w:val="24"/>
          <w:szCs w:val="24"/>
        </w:rPr>
        <w:t>简要回答下列各题（只要求答出要点）。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left="360"/>
        <w:jc w:val="left"/>
        <w:textAlignment w:val="auto"/>
        <w:rPr>
          <w:rFonts w:ascii="微软雅黑" w:hAnsi="微软雅黑" w:eastAsia="微软雅黑" w:cs="宋体"/>
          <w:color w:val="000000"/>
          <w:kern w:val="0"/>
          <w:sz w:val="18"/>
          <w:szCs w:val="18"/>
        </w:rPr>
      </w:pPr>
      <w:r>
        <w:rPr>
          <w:rFonts w:hint="eastAsia" w:ascii="宋体" w:hAnsi="宋体" w:eastAsia="宋体" w:cs="宋体"/>
          <w:color w:val="000000"/>
          <w:kern w:val="0"/>
          <w:sz w:val="24"/>
          <w:szCs w:val="24"/>
        </w:rPr>
        <w:t>大数据对传统广告带来的改变有哪些？</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359"/>
        <w:jc w:val="left"/>
        <w:textAlignment w:val="auto"/>
        <w:rPr>
          <w:rFonts w:ascii="微软雅黑" w:hAnsi="微软雅黑" w:eastAsia="微软雅黑" w:cs="宋体"/>
          <w:b/>
          <w:color w:val="000000"/>
          <w:kern w:val="0"/>
          <w:sz w:val="18"/>
          <w:szCs w:val="18"/>
        </w:rPr>
      </w:pPr>
      <w:r>
        <w:rPr>
          <w:rFonts w:hint="eastAsia" w:ascii="宋体" w:hAnsi="宋体" w:eastAsia="宋体" w:cs="宋体"/>
          <w:b/>
          <w:color w:val="000000"/>
          <w:kern w:val="0"/>
          <w:sz w:val="24"/>
          <w:szCs w:val="24"/>
        </w:rPr>
        <w:t>（四）论述题：</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359"/>
        <w:jc w:val="left"/>
        <w:textAlignment w:val="auto"/>
        <w:rPr>
          <w:rFonts w:ascii="微软雅黑" w:hAnsi="微软雅黑" w:eastAsia="微软雅黑" w:cs="宋体"/>
          <w:color w:val="000000"/>
          <w:kern w:val="0"/>
          <w:sz w:val="18"/>
          <w:szCs w:val="18"/>
        </w:rPr>
      </w:pPr>
      <w:r>
        <w:rPr>
          <w:rFonts w:hint="eastAsia" w:ascii="宋体" w:hAnsi="宋体" w:eastAsia="宋体" w:cs="宋体"/>
          <w:color w:val="000000"/>
          <w:kern w:val="0"/>
          <w:sz w:val="24"/>
          <w:szCs w:val="24"/>
        </w:rPr>
        <w:t>论述下列各题（要求：①答出基本要点；②对各要点进行分析评价）</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359"/>
        <w:jc w:val="left"/>
        <w:textAlignment w:val="auto"/>
        <w:rPr>
          <w:rFonts w:ascii="微软雅黑" w:hAnsi="微软雅黑" w:eastAsia="微软雅黑" w:cs="宋体"/>
          <w:color w:val="000000"/>
          <w:kern w:val="0"/>
          <w:sz w:val="18"/>
          <w:szCs w:val="18"/>
        </w:rPr>
      </w:pPr>
      <w:r>
        <w:rPr>
          <w:rFonts w:hint="eastAsia" w:ascii="宋体" w:hAnsi="宋体" w:eastAsia="宋体" w:cs="宋体"/>
          <w:color w:val="000000"/>
          <w:kern w:val="0"/>
          <w:sz w:val="24"/>
          <w:szCs w:val="24"/>
        </w:rPr>
        <w:t>网络营销传播如何通过策略性的方式使传播效果达到最优化</w:t>
      </w:r>
      <w:r>
        <w:rPr>
          <w:rFonts w:hint="eastAsia" w:ascii="Times New Roman" w:hAnsi="Times New Roman" w:eastAsia="微软雅黑" w:cs="Times New Roman"/>
          <w:color w:val="000000"/>
          <w:kern w:val="0"/>
          <w:sz w:val="24"/>
          <w:szCs w:val="24"/>
        </w:rPr>
        <w:t>?</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359"/>
        <w:jc w:val="left"/>
        <w:textAlignment w:val="auto"/>
        <w:rPr>
          <w:rFonts w:ascii="宋体" w:hAnsi="宋体" w:eastAsia="宋体" w:cs="宋体"/>
          <w:b/>
          <w:color w:val="000000"/>
          <w:kern w:val="0"/>
          <w:sz w:val="24"/>
          <w:szCs w:val="24"/>
        </w:rPr>
      </w:pPr>
      <w:r>
        <w:rPr>
          <w:rFonts w:hint="eastAsia" w:ascii="宋体" w:hAnsi="宋体" w:eastAsia="宋体" w:cs="宋体"/>
          <w:b/>
          <w:color w:val="000000"/>
          <w:kern w:val="0"/>
          <w:sz w:val="24"/>
          <w:szCs w:val="24"/>
        </w:rPr>
        <w:t>（五）案例分析题：</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359"/>
        <w:jc w:val="left"/>
        <w:textAlignment w:val="auto"/>
        <w:rPr>
          <w:rFonts w:ascii="宋体" w:hAnsi="微软雅黑" w:eastAsia="宋体" w:cs="宋体"/>
          <w:b/>
          <w:color w:val="000000"/>
          <w:kern w:val="0"/>
          <w:sz w:val="24"/>
          <w:szCs w:val="24"/>
        </w:rPr>
      </w:pPr>
      <w:r>
        <w:rPr>
          <w:rFonts w:hint="eastAsia" w:ascii="宋体" w:eastAsia="宋体"/>
          <w:sz w:val="24"/>
          <w:szCs w:val="24"/>
        </w:rPr>
        <w:t>请结合以下这则</w:t>
      </w:r>
      <w:r>
        <w:rPr>
          <w:rFonts w:ascii="Times New Roman" w:hAnsi="Times New Roman" w:eastAsia="宋体" w:cs="Times New Roman"/>
          <w:sz w:val="24"/>
          <w:szCs w:val="24"/>
        </w:rPr>
        <w:t>Penline</w:t>
      </w:r>
      <w:r>
        <w:rPr>
          <w:rFonts w:hint="eastAsia" w:ascii="宋体" w:eastAsia="宋体"/>
          <w:sz w:val="24"/>
          <w:szCs w:val="24"/>
        </w:rPr>
        <w:t>胶带广告的案例，分析环境新媒体的应用策略。</w:t>
      </w:r>
    </w:p>
    <w:p>
      <w:pPr>
        <w:widowControl/>
        <w:shd w:val="clear" w:color="auto" w:fill="FFFFFF"/>
        <w:ind w:firstLine="540"/>
        <w:jc w:val="left"/>
        <w:rPr>
          <w:rFonts w:ascii="宋体" w:hAnsi="宋体" w:eastAsia="宋体" w:cs="宋体"/>
          <w:color w:val="000000"/>
          <w:kern w:val="0"/>
          <w:sz w:val="24"/>
          <w:szCs w:val="24"/>
        </w:rPr>
      </w:pPr>
      <w:r>
        <w:rPr>
          <w:rFonts w:ascii="Helvetica" w:hAnsi="Helvetica" w:cs="Helvetica"/>
          <w:kern w:val="0"/>
          <w:sz w:val="24"/>
          <w:szCs w:val="24"/>
        </w:rPr>
        <w:drawing>
          <wp:inline distT="0" distB="0" distL="0" distR="0">
            <wp:extent cx="2330450" cy="2046605"/>
            <wp:effectExtent l="0" t="0" r="6350" b="1079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331318" cy="2047599"/>
                    </a:xfrm>
                    <a:prstGeom prst="rect">
                      <a:avLst/>
                    </a:prstGeom>
                    <a:noFill/>
                    <a:ln>
                      <a:noFill/>
                    </a:ln>
                  </pic:spPr>
                </pic:pic>
              </a:graphicData>
            </a:graphic>
          </wp:inline>
        </w:drawing>
      </w:r>
    </w:p>
    <w:sectPr>
      <w:footerReference r:id="rId3" w:type="default"/>
      <w:footerReference r:id="rId4"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PMingLiU">
    <w:altName w:val="Segoe Print"/>
    <w:panose1 w:val="00000000000000000000"/>
    <w:charset w:val="00"/>
    <w:family w:val="auto"/>
    <w:pitch w:val="default"/>
    <w:sig w:usb0="00000000" w:usb1="00000000" w:usb2="00000000" w:usb3="00000000" w:csb0="00000000" w:csb1="00000000"/>
  </w:font>
  <w:font w:name="Heiti SC Light">
    <w:altName w:val="Arial Unicode MS"/>
    <w:panose1 w:val="00000000000000000000"/>
    <w:charset w:val="50"/>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Helvetica">
    <w:altName w:val="Arial"/>
    <w:panose1 w:val="020B0604020202020204"/>
    <w:charset w:val="00"/>
    <w:family w:val="swiss"/>
    <w:pitch w:val="default"/>
    <w:sig w:usb0="00000000" w:usb1="00000000" w:usb2="00000009" w:usb3="00000000" w:csb0="000001FF" w:csb1="00000000"/>
  </w:font>
  <w:font w:name="Segoe Print">
    <w:panose1 w:val="02000600000000000000"/>
    <w:charset w:val="00"/>
    <w:family w:val="auto"/>
    <w:pitch w:val="default"/>
    <w:sig w:usb0="0000028F" w:usb1="00000000" w:usb2="00000000" w:usb3="00000000" w:csb0="2000009F" w:csb1="47010000"/>
  </w:font>
  <w:font w:name="Arial Unicode MS">
    <w:panose1 w:val="020B0604020202020204"/>
    <w:charset w:val="86"/>
    <w:family w:val="auto"/>
    <w:pitch w:val="default"/>
    <w:sig w:usb0="FFFFFFFF" w:usb1="E9FFFFFF" w:usb2="0000003F" w:usb3="00000000" w:csb0="603F01FF" w:csb1="FFFF0000"/>
  </w:font>
  <w:font w:name="Arial Unicode MS">
    <w:panose1 w:val="020B0604020202020204"/>
    <w:charset w:val="50"/>
    <w:family w:val="auto"/>
    <w:pitch w:val="default"/>
    <w:sig w:usb0="FFFFFFFF" w:usb1="E9FFFFFF" w:usb2="0000003F" w:usb3="00000000" w:csb0="603F01FF" w:csb1="FFFF0000"/>
  </w:font>
  <w:font w:name="Arial">
    <w:panose1 w:val="020B0604020202020204"/>
    <w:charset w:val="00"/>
    <w:family w:val="swiss"/>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rPr>
        <w:rStyle w:val="7"/>
      </w:rPr>
      <w:fldChar w:fldCharType="begin"/>
    </w:r>
    <w:r>
      <w:rPr>
        <w:rStyle w:val="7"/>
      </w:rPr>
      <w:instrText xml:space="preserve">PAGE  </w:instrText>
    </w:r>
    <w:r>
      <w:rPr>
        <w:rStyle w:val="7"/>
      </w:rPr>
      <w:fldChar w:fldCharType="separate"/>
    </w:r>
    <w:r>
      <w:rPr>
        <w:rStyle w:val="7"/>
      </w:rPr>
      <w:t>10</w:t>
    </w:r>
    <w:r>
      <w:rPr>
        <w:rStyle w:val="7"/>
      </w:rP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rPr>
        <w:rStyle w:val="7"/>
      </w:rPr>
      <w:fldChar w:fldCharType="begin"/>
    </w:r>
    <w:r>
      <w:rPr>
        <w:rStyle w:val="7"/>
      </w:rPr>
      <w:instrText xml:space="preserve">PAGE  </w:instrText>
    </w:r>
    <w:r>
      <w:rPr>
        <w:rStyle w:val="7"/>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FB6E5A"/>
    <w:multiLevelType w:val="singleLevel"/>
    <w:tmpl w:val="3AFB6E5A"/>
    <w:lvl w:ilvl="0" w:tentative="0">
      <w:start w:val="1"/>
      <w:numFmt w:val="decimal"/>
      <w:suff w:val="nothing"/>
      <w:lvlText w:val="%1、"/>
      <w:lvlJc w:val="left"/>
    </w:lvl>
  </w:abstractNum>
  <w:abstractNum w:abstractNumId="1">
    <w:nsid w:val="4B8C7775"/>
    <w:multiLevelType w:val="singleLevel"/>
    <w:tmpl w:val="4B8C7775"/>
    <w:lvl w:ilvl="0" w:tentative="0">
      <w:start w:val="3"/>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FB5"/>
    <w:rsid w:val="0006062E"/>
    <w:rsid w:val="000B1D71"/>
    <w:rsid w:val="00112F9C"/>
    <w:rsid w:val="00113F65"/>
    <w:rsid w:val="00120425"/>
    <w:rsid w:val="00141A1F"/>
    <w:rsid w:val="00144772"/>
    <w:rsid w:val="00152FFD"/>
    <w:rsid w:val="00171540"/>
    <w:rsid w:val="001A0CF6"/>
    <w:rsid w:val="001B6F28"/>
    <w:rsid w:val="001C2D16"/>
    <w:rsid w:val="001D67A0"/>
    <w:rsid w:val="001E04B7"/>
    <w:rsid w:val="00205D93"/>
    <w:rsid w:val="0021185D"/>
    <w:rsid w:val="0021315F"/>
    <w:rsid w:val="0023380E"/>
    <w:rsid w:val="0024242E"/>
    <w:rsid w:val="00244F2E"/>
    <w:rsid w:val="002500D1"/>
    <w:rsid w:val="00261294"/>
    <w:rsid w:val="00270598"/>
    <w:rsid w:val="002732A4"/>
    <w:rsid w:val="00281440"/>
    <w:rsid w:val="002B2D12"/>
    <w:rsid w:val="002D3857"/>
    <w:rsid w:val="002E3E68"/>
    <w:rsid w:val="002F1A12"/>
    <w:rsid w:val="003010E6"/>
    <w:rsid w:val="00303968"/>
    <w:rsid w:val="00316FAE"/>
    <w:rsid w:val="00323AB2"/>
    <w:rsid w:val="0034144B"/>
    <w:rsid w:val="003508B0"/>
    <w:rsid w:val="00351E65"/>
    <w:rsid w:val="003531FD"/>
    <w:rsid w:val="003575FF"/>
    <w:rsid w:val="00365FB5"/>
    <w:rsid w:val="004038F5"/>
    <w:rsid w:val="00426D86"/>
    <w:rsid w:val="00440F54"/>
    <w:rsid w:val="004C310D"/>
    <w:rsid w:val="004F2EA7"/>
    <w:rsid w:val="005124CA"/>
    <w:rsid w:val="0056761D"/>
    <w:rsid w:val="00587B7F"/>
    <w:rsid w:val="00595FFF"/>
    <w:rsid w:val="00607274"/>
    <w:rsid w:val="00621C83"/>
    <w:rsid w:val="0067699D"/>
    <w:rsid w:val="006A1DC2"/>
    <w:rsid w:val="006C666F"/>
    <w:rsid w:val="006E063C"/>
    <w:rsid w:val="00721E4A"/>
    <w:rsid w:val="0074057B"/>
    <w:rsid w:val="0074543A"/>
    <w:rsid w:val="00766B01"/>
    <w:rsid w:val="00785760"/>
    <w:rsid w:val="007B3821"/>
    <w:rsid w:val="007B74DF"/>
    <w:rsid w:val="00801120"/>
    <w:rsid w:val="008477C4"/>
    <w:rsid w:val="00854F3C"/>
    <w:rsid w:val="00884E5F"/>
    <w:rsid w:val="008E7356"/>
    <w:rsid w:val="00925C1B"/>
    <w:rsid w:val="00961809"/>
    <w:rsid w:val="00966F66"/>
    <w:rsid w:val="00971328"/>
    <w:rsid w:val="009754F8"/>
    <w:rsid w:val="009813A9"/>
    <w:rsid w:val="00991DE5"/>
    <w:rsid w:val="009965F8"/>
    <w:rsid w:val="009A21F4"/>
    <w:rsid w:val="009A4245"/>
    <w:rsid w:val="009B2A74"/>
    <w:rsid w:val="009B48E6"/>
    <w:rsid w:val="009D6C16"/>
    <w:rsid w:val="009F6E2F"/>
    <w:rsid w:val="00A03F67"/>
    <w:rsid w:val="00A3593F"/>
    <w:rsid w:val="00A51733"/>
    <w:rsid w:val="00A774BC"/>
    <w:rsid w:val="00AD6F5E"/>
    <w:rsid w:val="00AD7207"/>
    <w:rsid w:val="00B07CBC"/>
    <w:rsid w:val="00B25998"/>
    <w:rsid w:val="00B469A4"/>
    <w:rsid w:val="00B6219E"/>
    <w:rsid w:val="00B65721"/>
    <w:rsid w:val="00BC1215"/>
    <w:rsid w:val="00BC5BDA"/>
    <w:rsid w:val="00BD6C3F"/>
    <w:rsid w:val="00BE7C70"/>
    <w:rsid w:val="00BF5FE0"/>
    <w:rsid w:val="00C04BFA"/>
    <w:rsid w:val="00C34234"/>
    <w:rsid w:val="00C42D54"/>
    <w:rsid w:val="00C43306"/>
    <w:rsid w:val="00C526F5"/>
    <w:rsid w:val="00C945C1"/>
    <w:rsid w:val="00CB4CA6"/>
    <w:rsid w:val="00CC1DB6"/>
    <w:rsid w:val="00CD40C2"/>
    <w:rsid w:val="00CF168A"/>
    <w:rsid w:val="00D165D3"/>
    <w:rsid w:val="00D176A6"/>
    <w:rsid w:val="00D64428"/>
    <w:rsid w:val="00D67D4D"/>
    <w:rsid w:val="00D826C3"/>
    <w:rsid w:val="00DA7BF5"/>
    <w:rsid w:val="00DC2C4A"/>
    <w:rsid w:val="00DE40ED"/>
    <w:rsid w:val="00DE597B"/>
    <w:rsid w:val="00DF7978"/>
    <w:rsid w:val="00E13614"/>
    <w:rsid w:val="00E231DC"/>
    <w:rsid w:val="00E56CD9"/>
    <w:rsid w:val="00E81AC1"/>
    <w:rsid w:val="00E834AC"/>
    <w:rsid w:val="00EA2F0D"/>
    <w:rsid w:val="00EB254D"/>
    <w:rsid w:val="00EE23C0"/>
    <w:rsid w:val="00F245A8"/>
    <w:rsid w:val="00F30665"/>
    <w:rsid w:val="00F46AF6"/>
    <w:rsid w:val="00F57B2D"/>
    <w:rsid w:val="00FC2DE4"/>
    <w:rsid w:val="00FD1E34"/>
    <w:rsid w:val="1ED90134"/>
    <w:rsid w:val="268E3EAA"/>
    <w:rsid w:val="31A759DF"/>
    <w:rsid w:val="32434AA7"/>
    <w:rsid w:val="3F102C16"/>
    <w:rsid w:val="49785F5D"/>
    <w:rsid w:val="51FB1E2B"/>
    <w:rsid w:val="52E01783"/>
    <w:rsid w:val="626857BA"/>
    <w:rsid w:val="6651258B"/>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TW"/>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9">
    <w:name w:val="Normal Table"/>
    <w:semiHidden/>
    <w:unhideWhenUsed/>
    <w:uiPriority w:val="99"/>
    <w:tblPr>
      <w:tblLayout w:type="fixed"/>
      <w:tblCellMar>
        <w:top w:w="0" w:type="dxa"/>
        <w:left w:w="108" w:type="dxa"/>
        <w:bottom w:w="0" w:type="dxa"/>
        <w:right w:w="108" w:type="dxa"/>
      </w:tblCellMar>
    </w:tblPr>
  </w:style>
  <w:style w:type="paragraph" w:styleId="2">
    <w:name w:val="toc 3"/>
    <w:basedOn w:val="1"/>
    <w:next w:val="1"/>
    <w:semiHidden/>
    <w:unhideWhenUsed/>
    <w:uiPriority w:val="39"/>
    <w:pPr>
      <w:widowControl/>
      <w:spacing w:before="100" w:beforeAutospacing="1" w:after="100" w:afterAutospacing="1"/>
      <w:jc w:val="left"/>
    </w:pPr>
    <w:rPr>
      <w:rFonts w:ascii="宋体" w:hAnsi="宋体" w:eastAsia="宋体" w:cs="宋体"/>
      <w:kern w:val="0"/>
      <w:sz w:val="24"/>
      <w:szCs w:val="24"/>
    </w:rPr>
  </w:style>
  <w:style w:type="paragraph" w:styleId="3">
    <w:name w:val="Balloon Text"/>
    <w:basedOn w:val="1"/>
    <w:link w:val="12"/>
    <w:semiHidden/>
    <w:unhideWhenUsed/>
    <w:uiPriority w:val="99"/>
    <w:rPr>
      <w:rFonts w:ascii="Heiti SC Light" w:eastAsia="Heiti SC Light"/>
      <w:sz w:val="18"/>
      <w:szCs w:val="18"/>
    </w:rPr>
  </w:style>
  <w:style w:type="paragraph" w:styleId="4">
    <w:name w:val="footer"/>
    <w:basedOn w:val="1"/>
    <w:link w:val="11"/>
    <w:unhideWhenUsed/>
    <w:uiPriority w:val="99"/>
    <w:pPr>
      <w:tabs>
        <w:tab w:val="center" w:pos="4153"/>
        <w:tab w:val="right" w:pos="8306"/>
      </w:tabs>
      <w:snapToGrid w:val="0"/>
    </w:pPr>
    <w:rPr>
      <w:sz w:val="20"/>
      <w:szCs w:val="20"/>
    </w:rPr>
  </w:style>
  <w:style w:type="paragraph" w:styleId="5">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character" w:styleId="7">
    <w:name w:val="page number"/>
    <w:basedOn w:val="6"/>
    <w:semiHidden/>
    <w:unhideWhenUsed/>
    <w:uiPriority w:val="99"/>
  </w:style>
  <w:style w:type="character" w:styleId="8">
    <w:name w:val="Hyperlink"/>
    <w:basedOn w:val="6"/>
    <w:semiHidden/>
    <w:unhideWhenUsed/>
    <w:uiPriority w:val="99"/>
    <w:rPr>
      <w:color w:val="0000FF"/>
      <w:u w:val="single"/>
    </w:rPr>
  </w:style>
  <w:style w:type="character" w:customStyle="1" w:styleId="10">
    <w:name w:val="apple-converted-space"/>
    <w:basedOn w:val="6"/>
    <w:uiPriority w:val="0"/>
  </w:style>
  <w:style w:type="character" w:customStyle="1" w:styleId="11">
    <w:name w:val="页脚 Char"/>
    <w:basedOn w:val="6"/>
    <w:link w:val="4"/>
    <w:uiPriority w:val="99"/>
    <w:rPr>
      <w:sz w:val="20"/>
      <w:szCs w:val="20"/>
    </w:rPr>
  </w:style>
  <w:style w:type="character" w:customStyle="1" w:styleId="12">
    <w:name w:val="批注框文本 Char"/>
    <w:basedOn w:val="6"/>
    <w:link w:val="3"/>
    <w:semiHidden/>
    <w:uiPriority w:val="99"/>
    <w:rPr>
      <w:rFonts w:ascii="Heiti SC Light" w:eastAsia="Heiti SC Light"/>
      <w:sz w:val="18"/>
      <w:szCs w:val="18"/>
    </w:rPr>
  </w:style>
  <w:style w:type="character" w:customStyle="1" w:styleId="13">
    <w:name w:val="页眉 Char"/>
    <w:basedOn w:val="6"/>
    <w:link w:val="5"/>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12</Pages>
  <Words>1246</Words>
  <Characters>7108</Characters>
  <Lines>59</Lines>
  <Paragraphs>16</Paragraphs>
  <TotalTime>104</TotalTime>
  <ScaleCrop>false</ScaleCrop>
  <LinksUpToDate>false</LinksUpToDate>
  <CharactersWithSpaces>8338</CharactersWithSpaces>
  <Application>WPS Office_11.8.2.8053_F1E327BC-269C-435d-A152-05C5408002CA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2019-09-28T05:31:00Z</dcterms:created>
  <dc:creator>he206</dc:creator>
  <cp:lastModifiedBy>wangq</cp:lastModifiedBy>
  <dcterms:modified xsi:type="dcterms:W3CDTF">2019-11-22T00:59:14Z</dcterms:modified>
  <cp:revision>133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ies>
</file>